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22FE0" w14:textId="77777777" w:rsidR="0069365C" w:rsidRPr="00F83709" w:rsidRDefault="00000000" w:rsidP="00DD64B8">
      <w:pPr>
        <w:rPr>
          <w:rFonts w:ascii="Arial" w:hAnsi="Arial"/>
          <w:b/>
          <w:szCs w:val="40"/>
          <w:u w:val="single"/>
          <w:lang w:val="es-MX"/>
        </w:rPr>
      </w:pPr>
      <w:r>
        <w:rPr>
          <w:rFonts w:ascii="Arial" w:eastAsia="Arial" w:hAnsi="Arial"/>
          <w:b/>
          <w:bCs/>
          <w:u w:val="single"/>
          <w:lang w:val="es-MX"/>
        </w:rPr>
        <w:t>Política</w:t>
      </w:r>
    </w:p>
    <w:p w14:paraId="491399CA" w14:textId="77777777" w:rsidR="0069365C" w:rsidRPr="00F83709" w:rsidRDefault="0069365C" w:rsidP="00DD64B8">
      <w:pPr>
        <w:rPr>
          <w:rFonts w:ascii="Arial" w:hAnsi="Arial"/>
          <w:szCs w:val="40"/>
          <w:lang w:val="es-MX"/>
        </w:rPr>
      </w:pPr>
    </w:p>
    <w:p w14:paraId="0FFFA610" w14:textId="77777777" w:rsidR="00FB2543" w:rsidRPr="00F83709" w:rsidRDefault="00000000" w:rsidP="00DD64B8">
      <w:pPr>
        <w:rPr>
          <w:rFonts w:ascii="Arial" w:hAnsi="Arial"/>
          <w:szCs w:val="40"/>
          <w:lang w:val="es-MX"/>
        </w:rPr>
      </w:pPr>
      <w:r>
        <w:rPr>
          <w:rFonts w:ascii="Arial" w:eastAsia="Arial" w:hAnsi="Arial"/>
          <w:lang w:val="es-MX"/>
        </w:rPr>
        <w:t>De conformidad con el consenso del Comité de Vendedores con Ceguera de Nevada, la agencia citada anteriormente establece esta política para promover el desarrollo y el establecimiento de rutas de venta asignadas para vendedores con ceguera.</w:t>
      </w:r>
    </w:p>
    <w:p w14:paraId="5D9278D2" w14:textId="77777777" w:rsidR="003F1858" w:rsidRPr="00F83709" w:rsidRDefault="003F1858" w:rsidP="00DD64B8">
      <w:pPr>
        <w:rPr>
          <w:rFonts w:ascii="Arial" w:hAnsi="Arial"/>
          <w:szCs w:val="40"/>
          <w:lang w:val="es-MX"/>
        </w:rPr>
      </w:pPr>
    </w:p>
    <w:p w14:paraId="5731F54B" w14:textId="77777777" w:rsidR="0069365C" w:rsidRPr="00F83709" w:rsidRDefault="00000000" w:rsidP="00DD64B8">
      <w:pPr>
        <w:rPr>
          <w:rFonts w:ascii="Arial" w:hAnsi="Arial"/>
          <w:b/>
          <w:szCs w:val="40"/>
          <w:u w:val="single"/>
          <w:lang w:val="es-MX"/>
        </w:rPr>
      </w:pPr>
      <w:r>
        <w:rPr>
          <w:rFonts w:ascii="Arial" w:eastAsia="Arial" w:hAnsi="Arial"/>
          <w:b/>
          <w:bCs/>
          <w:u w:val="single"/>
          <w:lang w:val="es-MX"/>
        </w:rPr>
        <w:t>Definiciones</w:t>
      </w:r>
    </w:p>
    <w:p w14:paraId="329C1264" w14:textId="77777777" w:rsidR="0069365C" w:rsidRPr="00F83709" w:rsidRDefault="0069365C" w:rsidP="00DD64B8">
      <w:pPr>
        <w:rPr>
          <w:rFonts w:ascii="Arial" w:hAnsi="Arial"/>
          <w:b/>
          <w:szCs w:val="40"/>
          <w:lang w:val="es-MX"/>
        </w:rPr>
      </w:pPr>
    </w:p>
    <w:p w14:paraId="287A5F7F" w14:textId="77777777" w:rsidR="003F1858" w:rsidRPr="00F83709" w:rsidRDefault="00000000" w:rsidP="0069365C">
      <w:pPr>
        <w:ind w:left="720" w:hanging="360"/>
        <w:rPr>
          <w:rFonts w:ascii="Arial" w:hAnsi="Arial"/>
          <w:szCs w:val="40"/>
          <w:lang w:val="es-MX"/>
        </w:rPr>
      </w:pPr>
      <w:r>
        <w:rPr>
          <w:rFonts w:ascii="Arial" w:eastAsia="Arial" w:hAnsi="Arial"/>
          <w:lang w:val="es-MX"/>
        </w:rPr>
        <w:t>1.</w:t>
      </w:r>
      <w:r>
        <w:rPr>
          <w:rFonts w:ascii="Arial" w:eastAsia="Arial" w:hAnsi="Arial"/>
          <w:lang w:val="es-MX"/>
        </w:rPr>
        <w:tab/>
        <w:t>Ruta de venta asignada:  El número total de ubicaciones "solo con máquinas expendedoras" dentro de una zona geográfica determinada que están asignadas a un operador con licencia o a un operador aprendiz bajo la autoridad de la Ley Randolph-Sheppard o NRS 426.</w:t>
      </w:r>
    </w:p>
    <w:p w14:paraId="79AE4474" w14:textId="77777777" w:rsidR="0069365C" w:rsidRPr="00F83709" w:rsidRDefault="0069365C" w:rsidP="00DD64B8">
      <w:pPr>
        <w:rPr>
          <w:rFonts w:ascii="Arial" w:hAnsi="Arial"/>
          <w:szCs w:val="40"/>
          <w:lang w:val="es-MX"/>
        </w:rPr>
      </w:pPr>
    </w:p>
    <w:p w14:paraId="2D85149F" w14:textId="77777777" w:rsidR="006949EA" w:rsidRPr="00F83709" w:rsidRDefault="00000000" w:rsidP="006949EA">
      <w:pPr>
        <w:ind w:left="720" w:hanging="360"/>
        <w:rPr>
          <w:rFonts w:ascii="Arial" w:hAnsi="Arial"/>
          <w:szCs w:val="40"/>
          <w:lang w:val="es-MX"/>
        </w:rPr>
      </w:pPr>
      <w:r>
        <w:rPr>
          <w:rFonts w:ascii="Arial" w:eastAsia="Arial" w:hAnsi="Arial"/>
          <w:lang w:val="es-MX"/>
        </w:rPr>
        <w:t>2.</w:t>
      </w:r>
      <w:r>
        <w:rPr>
          <w:rFonts w:ascii="Arial" w:eastAsia="Arial" w:hAnsi="Arial"/>
          <w:lang w:val="es-MX"/>
        </w:rPr>
        <w:tab/>
        <w:t>Ubicación geográfica:  En lo que respecta a esta política, se divide en tres áreas del Estado:</w:t>
      </w:r>
    </w:p>
    <w:p w14:paraId="6574E29D" w14:textId="77777777" w:rsidR="003F1858" w:rsidRPr="00F83709" w:rsidRDefault="00000000" w:rsidP="006949EA">
      <w:pPr>
        <w:ind w:left="1080" w:hanging="360"/>
        <w:rPr>
          <w:rFonts w:ascii="Arial" w:hAnsi="Arial"/>
          <w:szCs w:val="40"/>
          <w:lang w:val="es-MX"/>
        </w:rPr>
      </w:pPr>
      <w:r>
        <w:rPr>
          <w:rFonts w:ascii="Arial" w:eastAsia="Arial" w:hAnsi="Arial"/>
          <w:lang w:val="es-MX"/>
        </w:rPr>
        <w:t>a.</w:t>
      </w:r>
      <w:r>
        <w:rPr>
          <w:rFonts w:ascii="Arial" w:eastAsia="Arial" w:hAnsi="Arial"/>
          <w:lang w:val="es-MX"/>
        </w:rPr>
        <w:tab/>
        <w:t xml:space="preserve">El norte incluye el condado de </w:t>
      </w:r>
      <w:proofErr w:type="spellStart"/>
      <w:r>
        <w:rPr>
          <w:rFonts w:ascii="Arial" w:eastAsia="Arial" w:hAnsi="Arial"/>
          <w:lang w:val="es-MX"/>
        </w:rPr>
        <w:t>Washoe</w:t>
      </w:r>
      <w:proofErr w:type="spellEnd"/>
      <w:r>
        <w:rPr>
          <w:rFonts w:ascii="Arial" w:eastAsia="Arial" w:hAnsi="Arial"/>
          <w:lang w:val="es-MX"/>
        </w:rPr>
        <w:t>, Carson City, el condado de Douglas, el condado de Lyon y el condado de Storey.</w:t>
      </w:r>
    </w:p>
    <w:p w14:paraId="50268C7B" w14:textId="77777777" w:rsidR="0069365C" w:rsidRPr="00F83709" w:rsidRDefault="0069365C" w:rsidP="003F1858">
      <w:pPr>
        <w:ind w:left="720"/>
        <w:rPr>
          <w:rFonts w:ascii="Arial" w:hAnsi="Arial"/>
          <w:szCs w:val="40"/>
          <w:lang w:val="es-MX"/>
        </w:rPr>
      </w:pPr>
    </w:p>
    <w:p w14:paraId="71E836A7" w14:textId="77777777" w:rsidR="003F1858" w:rsidRPr="00F83709" w:rsidRDefault="00000000" w:rsidP="006949EA">
      <w:pPr>
        <w:ind w:left="1080" w:hanging="360"/>
        <w:rPr>
          <w:rFonts w:ascii="Arial" w:hAnsi="Arial"/>
          <w:szCs w:val="40"/>
          <w:lang w:val="es-MX"/>
        </w:rPr>
      </w:pPr>
      <w:r>
        <w:rPr>
          <w:rFonts w:ascii="Arial" w:eastAsia="Arial" w:hAnsi="Arial"/>
          <w:lang w:val="es-MX"/>
        </w:rPr>
        <w:t>b.</w:t>
      </w:r>
      <w:r>
        <w:rPr>
          <w:rFonts w:ascii="Arial" w:eastAsia="Arial" w:hAnsi="Arial"/>
          <w:lang w:val="es-MX"/>
        </w:rPr>
        <w:tab/>
        <w:t xml:space="preserve">El sur incluye todo el condado de Clark y la zona que se extiende hacia el oeste hasta </w:t>
      </w:r>
      <w:proofErr w:type="spellStart"/>
      <w:r>
        <w:rPr>
          <w:rFonts w:ascii="Arial" w:eastAsia="Arial" w:hAnsi="Arial"/>
          <w:lang w:val="es-MX"/>
        </w:rPr>
        <w:t>Pahrump</w:t>
      </w:r>
      <w:proofErr w:type="spellEnd"/>
      <w:r>
        <w:rPr>
          <w:rFonts w:ascii="Arial" w:eastAsia="Arial" w:hAnsi="Arial"/>
          <w:lang w:val="es-MX"/>
        </w:rPr>
        <w:t>.</w:t>
      </w:r>
    </w:p>
    <w:p w14:paraId="74859B0D" w14:textId="77777777" w:rsidR="0069365C" w:rsidRPr="00F83709" w:rsidRDefault="0069365C" w:rsidP="003F1858">
      <w:pPr>
        <w:ind w:left="720"/>
        <w:rPr>
          <w:rFonts w:ascii="Arial" w:hAnsi="Arial"/>
          <w:szCs w:val="40"/>
          <w:lang w:val="es-MX"/>
        </w:rPr>
      </w:pPr>
    </w:p>
    <w:p w14:paraId="449A41A0" w14:textId="77777777" w:rsidR="003F1858" w:rsidRPr="00F83709" w:rsidRDefault="00000000" w:rsidP="006949EA">
      <w:pPr>
        <w:ind w:left="1080" w:hanging="360"/>
        <w:rPr>
          <w:rFonts w:ascii="Arial" w:hAnsi="Arial"/>
          <w:szCs w:val="40"/>
          <w:lang w:val="es-MX"/>
        </w:rPr>
      </w:pPr>
      <w:r>
        <w:rPr>
          <w:rFonts w:ascii="Arial" w:eastAsia="Arial" w:hAnsi="Arial"/>
          <w:lang w:val="es-MX"/>
        </w:rPr>
        <w:t>c.</w:t>
      </w:r>
      <w:r>
        <w:rPr>
          <w:rFonts w:ascii="Arial" w:eastAsia="Arial" w:hAnsi="Arial"/>
          <w:lang w:val="es-MX"/>
        </w:rPr>
        <w:tab/>
        <w:t>El saldo del estado incluye todos los demás condados que no figuran en las zonas norte y sur.</w:t>
      </w:r>
    </w:p>
    <w:p w14:paraId="6CD4735C" w14:textId="77777777" w:rsidR="00AD0D92" w:rsidRPr="00F83709" w:rsidRDefault="00AD0D92" w:rsidP="00AD0D92">
      <w:pPr>
        <w:rPr>
          <w:rFonts w:ascii="Arial" w:hAnsi="Arial"/>
          <w:szCs w:val="40"/>
          <w:lang w:val="es-MX"/>
        </w:rPr>
      </w:pPr>
    </w:p>
    <w:p w14:paraId="2D5A8144" w14:textId="77777777" w:rsidR="0069365C" w:rsidRPr="00F83709" w:rsidRDefault="00000000" w:rsidP="00AD0D92">
      <w:pPr>
        <w:rPr>
          <w:rFonts w:ascii="Arial" w:hAnsi="Arial"/>
          <w:b/>
          <w:szCs w:val="40"/>
          <w:u w:val="single"/>
          <w:lang w:val="es-MX"/>
        </w:rPr>
      </w:pPr>
      <w:r>
        <w:rPr>
          <w:rFonts w:ascii="Arial" w:eastAsia="Arial" w:hAnsi="Arial"/>
          <w:b/>
          <w:bCs/>
          <w:u w:val="single"/>
          <w:lang w:val="es-MX"/>
        </w:rPr>
        <w:t>Declaración</w:t>
      </w:r>
    </w:p>
    <w:p w14:paraId="041DD676" w14:textId="77777777" w:rsidR="0069365C" w:rsidRPr="00F83709" w:rsidRDefault="0069365C" w:rsidP="00AD0D92">
      <w:pPr>
        <w:rPr>
          <w:rFonts w:ascii="Arial" w:hAnsi="Arial"/>
          <w:szCs w:val="40"/>
          <w:lang w:val="es-MX"/>
        </w:rPr>
      </w:pPr>
    </w:p>
    <w:p w14:paraId="07B92EA8" w14:textId="77777777" w:rsidR="00AD0D92" w:rsidRPr="00F83709" w:rsidRDefault="00000000" w:rsidP="00AD0D92">
      <w:pPr>
        <w:rPr>
          <w:rFonts w:ascii="Arial" w:hAnsi="Arial"/>
          <w:szCs w:val="40"/>
          <w:lang w:val="es-MX"/>
        </w:rPr>
      </w:pPr>
      <w:r>
        <w:rPr>
          <w:rFonts w:ascii="Arial" w:eastAsia="Arial" w:hAnsi="Arial"/>
          <w:lang w:val="es-MX"/>
        </w:rPr>
        <w:t>Con el fin de ampliar las oportunidades de empleo para los vendedores con ceguera, la Oficina de Servicios para Personas con Ceguera y Discapacidad Visual (BSBVI) establece por la presente una política mediante la cual se desarrollarán, operarán y mantendrán las rutas de venta.  Esta política estará vigente para todas las rutas de venta establecidas, independientemente de su ubicación.</w:t>
      </w:r>
    </w:p>
    <w:p w14:paraId="663FA8F0" w14:textId="77777777" w:rsidR="00E00CD1" w:rsidRPr="00F83709" w:rsidRDefault="00E00CD1" w:rsidP="00AD0D92">
      <w:pPr>
        <w:rPr>
          <w:rFonts w:ascii="Arial" w:hAnsi="Arial"/>
          <w:szCs w:val="40"/>
          <w:lang w:val="es-MX"/>
        </w:rPr>
      </w:pPr>
    </w:p>
    <w:p w14:paraId="3340EB16" w14:textId="77777777" w:rsidR="0069365C" w:rsidRPr="00F83709" w:rsidRDefault="00000000" w:rsidP="006949EA">
      <w:pPr>
        <w:ind w:left="360"/>
        <w:rPr>
          <w:rFonts w:ascii="Arial" w:hAnsi="Arial"/>
          <w:szCs w:val="40"/>
          <w:lang w:val="es-MX"/>
        </w:rPr>
      </w:pPr>
      <w:r>
        <w:rPr>
          <w:rFonts w:ascii="Arial" w:eastAsia="Arial" w:hAnsi="Arial"/>
          <w:lang w:val="es-MX"/>
        </w:rPr>
        <w:t>1.</w:t>
      </w:r>
      <w:r>
        <w:rPr>
          <w:rFonts w:ascii="Arial" w:eastAsia="Arial" w:hAnsi="Arial"/>
          <w:lang w:val="es-MX"/>
        </w:rPr>
        <w:tab/>
        <w:t>En caso de que se adjudique una ruta de venta a un vendedor con ceguera con licencia que actualmente opere otra instalación, se le dará al vendedor con ceguera la posibilidad de elegir entre ambas operaciones una vez que los ingresos netos de la ruta de venta alcancen el nivel de ingresos medios estatales para una familia de cuatro miembros.</w:t>
      </w:r>
    </w:p>
    <w:p w14:paraId="5C87740C" w14:textId="77777777" w:rsidR="0069365C" w:rsidRPr="00F83709" w:rsidRDefault="0069365C" w:rsidP="00AD0D92">
      <w:pPr>
        <w:rPr>
          <w:rFonts w:ascii="Arial" w:hAnsi="Arial"/>
          <w:szCs w:val="40"/>
          <w:lang w:val="es-MX"/>
        </w:rPr>
      </w:pPr>
    </w:p>
    <w:p w14:paraId="537BCE05" w14:textId="77777777" w:rsidR="00776C94" w:rsidRPr="00F83709" w:rsidRDefault="00000000" w:rsidP="0069365C">
      <w:pPr>
        <w:ind w:left="360"/>
        <w:rPr>
          <w:rFonts w:ascii="Arial" w:hAnsi="Arial"/>
          <w:szCs w:val="40"/>
          <w:lang w:val="es-MX"/>
        </w:rPr>
      </w:pPr>
      <w:r>
        <w:rPr>
          <w:rFonts w:ascii="Arial" w:eastAsia="Arial" w:hAnsi="Arial"/>
          <w:lang w:val="es-MX"/>
        </w:rPr>
        <w:t>En ese momento, el vendedor con ceguera deberá renunciar a la instalación de venta o a la Ruta de Venta.  Se podrá permitir al vendedor con ceguera continuar operando ambas empresas hasta que la Oficina seleccione un sucesor, o si la renuncia a un sitio creara dificultades para el Programa.</w:t>
      </w:r>
    </w:p>
    <w:p w14:paraId="4F9B719A" w14:textId="77777777" w:rsidR="0069365C" w:rsidRPr="00F83709" w:rsidRDefault="0069365C" w:rsidP="00AD0D92">
      <w:pPr>
        <w:rPr>
          <w:rFonts w:ascii="Arial" w:hAnsi="Arial"/>
          <w:szCs w:val="40"/>
          <w:lang w:val="es-MX"/>
        </w:rPr>
      </w:pPr>
    </w:p>
    <w:p w14:paraId="19620E58" w14:textId="77777777" w:rsidR="003856F7" w:rsidRPr="00F83709" w:rsidRDefault="00000000" w:rsidP="0069365C">
      <w:pPr>
        <w:numPr>
          <w:ilvl w:val="0"/>
          <w:numId w:val="7"/>
        </w:numPr>
        <w:rPr>
          <w:rFonts w:ascii="Arial" w:hAnsi="Arial"/>
          <w:szCs w:val="40"/>
          <w:lang w:val="es-MX"/>
        </w:rPr>
      </w:pPr>
      <w:r>
        <w:rPr>
          <w:rFonts w:ascii="Arial" w:eastAsia="Arial" w:hAnsi="Arial"/>
          <w:lang w:val="es-MX"/>
        </w:rPr>
        <w:t>El operador de la ruta de venta prestará servicio en todos los lugares asignados a la ruta y deberá renunciar a todo derecho a negarse a prestar servicio en los lugares indicados en su contrato.</w:t>
      </w:r>
    </w:p>
    <w:p w14:paraId="61CD00F0" w14:textId="77777777" w:rsidR="0069365C" w:rsidRPr="00F83709" w:rsidRDefault="0069365C" w:rsidP="0069365C">
      <w:pPr>
        <w:ind w:left="360"/>
        <w:rPr>
          <w:rFonts w:ascii="Arial" w:hAnsi="Arial"/>
          <w:szCs w:val="40"/>
          <w:lang w:val="es-MX"/>
        </w:rPr>
      </w:pPr>
    </w:p>
    <w:p w14:paraId="10A9CF28" w14:textId="77777777" w:rsidR="00AD0D92" w:rsidRPr="00F83709" w:rsidRDefault="00000000" w:rsidP="00AD0D92">
      <w:pPr>
        <w:numPr>
          <w:ilvl w:val="0"/>
          <w:numId w:val="7"/>
        </w:numPr>
        <w:rPr>
          <w:rFonts w:ascii="Arial" w:hAnsi="Arial"/>
          <w:szCs w:val="40"/>
          <w:lang w:val="es-MX"/>
        </w:rPr>
      </w:pPr>
      <w:r>
        <w:rPr>
          <w:rFonts w:ascii="Arial" w:eastAsia="Arial" w:hAnsi="Arial"/>
          <w:lang w:val="es-MX"/>
        </w:rPr>
        <w:t>En caso de que el administrador de la propiedad, tras consultar con el personal de BEN, determine que el operador de la ruta de máquinas expendedoras no puede satisfacer satisfactoriamente las necesidades de venta de los residentes del edificio, o que las máquinas expendedoras no están suficientemente abastecidas o no se mantienen en condiciones adecuadas de limpieza y/o reparación, se le dará al operador de la ruta de máquinas expendedoras un plazo de treinta días para corregir las deficiencias.  Si dicha deficiencia o deficiencias no se corrigen en un plazo de treinta días, la Oficina eliminará la ubicación de la ruta de venta y se encargará de que otra empresa privada de venta automática preste servicio en dicha ubicación.</w:t>
      </w:r>
    </w:p>
    <w:sectPr w:rsidR="00AD0D92" w:rsidRPr="00F83709">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57E977" w14:textId="77777777" w:rsidR="00FA4C35" w:rsidRDefault="00FA4C35">
      <w:r>
        <w:separator/>
      </w:r>
    </w:p>
  </w:endnote>
  <w:endnote w:type="continuationSeparator" w:id="0">
    <w:p w14:paraId="66E68073" w14:textId="77777777" w:rsidR="00FA4C35" w:rsidRDefault="00FA4C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5CF46" w14:textId="77777777" w:rsidR="00031104" w:rsidRDefault="000311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FFD92" w14:textId="77777777" w:rsidR="00603B77" w:rsidRPr="00F83709" w:rsidRDefault="00603B77">
    <w:pPr>
      <w:pStyle w:val="Header"/>
      <w:tabs>
        <w:tab w:val="clear" w:pos="4320"/>
        <w:tab w:val="clear" w:pos="8640"/>
      </w:tabs>
      <w:rPr>
        <w:sz w:val="22"/>
        <w:szCs w:val="22"/>
      </w:rPr>
    </w:pPr>
  </w:p>
  <w:tbl>
    <w:tblPr>
      <w:tblStyle w:val="TableGridLight"/>
      <w:tblW w:w="0" w:type="auto"/>
      <w:tblBorders>
        <w:top w:val="single" w:sz="4" w:space="0" w:color="auto"/>
        <w:left w:val="none" w:sz="0" w:space="0" w:color="auto"/>
        <w:bottom w:val="none" w:sz="0" w:space="0" w:color="auto"/>
        <w:right w:val="none" w:sz="0" w:space="0" w:color="auto"/>
        <w:insideH w:val="none" w:sz="0" w:space="0" w:color="auto"/>
        <w:insideV w:val="none" w:sz="0" w:space="0" w:color="auto"/>
      </w:tblBorders>
      <w:tblLook w:val="0020" w:firstRow="1" w:lastRow="0" w:firstColumn="0" w:lastColumn="0" w:noHBand="0" w:noVBand="0"/>
    </w:tblPr>
    <w:tblGrid>
      <w:gridCol w:w="4712"/>
      <w:gridCol w:w="4540"/>
    </w:tblGrid>
    <w:tr w:rsidR="00D814E4" w:rsidRPr="00F83709" w14:paraId="39DAB9AE" w14:textId="77777777" w:rsidTr="00031104">
      <w:tc>
        <w:tcPr>
          <w:tcW w:w="4712" w:type="dxa"/>
        </w:tcPr>
        <w:p w14:paraId="70CF8DD9" w14:textId="77777777" w:rsidR="00603B77" w:rsidRPr="00F83709" w:rsidRDefault="00000000">
          <w:pPr>
            <w:pStyle w:val="Footer"/>
            <w:rPr>
              <w:rFonts w:ascii="Arial" w:hAnsi="Arial" w:cs="Arial"/>
              <w:b/>
              <w:bCs/>
              <w:sz w:val="22"/>
              <w:szCs w:val="22"/>
            </w:rPr>
          </w:pPr>
          <w:r w:rsidRPr="00F83709">
            <w:rPr>
              <w:rFonts w:ascii="Arial" w:eastAsia="Arial" w:hAnsi="Arial" w:cs="Arial"/>
              <w:b/>
              <w:bCs/>
              <w:sz w:val="22"/>
              <w:szCs w:val="22"/>
              <w:lang w:val="es-MX"/>
            </w:rPr>
            <w:t>4.1 Rutas de venta asignadas a BEN</w:t>
          </w:r>
        </w:p>
      </w:tc>
      <w:tc>
        <w:tcPr>
          <w:tcW w:w="4540" w:type="dxa"/>
        </w:tcPr>
        <w:p w14:paraId="6581A66E" w14:textId="77777777" w:rsidR="00603B77" w:rsidRPr="00F83709" w:rsidRDefault="00000000">
          <w:pPr>
            <w:pStyle w:val="Footer"/>
            <w:jc w:val="right"/>
            <w:rPr>
              <w:rFonts w:ascii="Arial" w:hAnsi="Arial" w:cs="Arial"/>
              <w:b/>
              <w:bCs/>
              <w:sz w:val="22"/>
              <w:szCs w:val="22"/>
            </w:rPr>
          </w:pPr>
          <w:r w:rsidRPr="00F83709">
            <w:rPr>
              <w:rFonts w:ascii="Arial" w:eastAsia="Arial" w:hAnsi="Arial" w:cs="Arial"/>
              <w:b/>
              <w:bCs/>
              <w:sz w:val="22"/>
              <w:szCs w:val="22"/>
              <w:lang w:val="es-MX"/>
            </w:rPr>
            <w:t xml:space="preserve">Página </w:t>
          </w:r>
          <w:r w:rsidRPr="00F83709">
            <w:rPr>
              <w:rStyle w:val="PageNumber"/>
              <w:rFonts w:ascii="Arial" w:hAnsi="Arial" w:cs="Arial"/>
              <w:b/>
              <w:bCs/>
              <w:sz w:val="22"/>
              <w:szCs w:val="22"/>
            </w:rPr>
            <w:fldChar w:fldCharType="begin"/>
          </w:r>
          <w:r w:rsidRPr="00F83709">
            <w:rPr>
              <w:rStyle w:val="PageNumber"/>
              <w:rFonts w:ascii="Arial" w:hAnsi="Arial" w:cs="Arial"/>
              <w:b/>
              <w:bCs/>
              <w:sz w:val="22"/>
              <w:szCs w:val="22"/>
            </w:rPr>
            <w:instrText xml:space="preserve"> PAGE </w:instrText>
          </w:r>
          <w:r w:rsidRPr="00F83709">
            <w:rPr>
              <w:rStyle w:val="PageNumber"/>
              <w:rFonts w:ascii="Arial" w:hAnsi="Arial" w:cs="Arial"/>
              <w:b/>
              <w:bCs/>
              <w:sz w:val="22"/>
              <w:szCs w:val="22"/>
            </w:rPr>
            <w:fldChar w:fldCharType="separate"/>
          </w:r>
          <w:r w:rsidR="00336544" w:rsidRPr="00F83709">
            <w:rPr>
              <w:rStyle w:val="PageNumber"/>
              <w:rFonts w:ascii="Arial" w:hAnsi="Arial" w:cs="Arial"/>
              <w:b/>
              <w:bCs/>
              <w:noProof/>
              <w:sz w:val="22"/>
              <w:szCs w:val="22"/>
            </w:rPr>
            <w:t>1</w:t>
          </w:r>
          <w:r w:rsidRPr="00F83709">
            <w:rPr>
              <w:rStyle w:val="PageNumber"/>
              <w:rFonts w:ascii="Arial" w:hAnsi="Arial" w:cs="Arial"/>
              <w:b/>
              <w:bCs/>
              <w:sz w:val="22"/>
              <w:szCs w:val="22"/>
            </w:rPr>
            <w:fldChar w:fldCharType="end"/>
          </w:r>
          <w:r w:rsidRPr="00F83709">
            <w:rPr>
              <w:rFonts w:ascii="Arial" w:eastAsia="Arial" w:hAnsi="Arial" w:cs="Arial"/>
              <w:b/>
              <w:bCs/>
              <w:sz w:val="22"/>
              <w:szCs w:val="22"/>
              <w:lang w:val="es-MX"/>
            </w:rPr>
            <w:t xml:space="preserve"> de </w:t>
          </w:r>
          <w:r w:rsidRPr="00F83709">
            <w:rPr>
              <w:rStyle w:val="PageNumber"/>
              <w:rFonts w:ascii="Arial" w:hAnsi="Arial" w:cs="Arial"/>
              <w:b/>
              <w:bCs/>
              <w:sz w:val="22"/>
              <w:szCs w:val="22"/>
            </w:rPr>
            <w:fldChar w:fldCharType="begin"/>
          </w:r>
          <w:r w:rsidRPr="00F83709">
            <w:rPr>
              <w:rStyle w:val="PageNumber"/>
              <w:rFonts w:ascii="Arial" w:hAnsi="Arial" w:cs="Arial"/>
              <w:b/>
              <w:bCs/>
              <w:sz w:val="22"/>
              <w:szCs w:val="22"/>
            </w:rPr>
            <w:instrText xml:space="preserve"> NUMPAGES </w:instrText>
          </w:r>
          <w:r w:rsidRPr="00F83709">
            <w:rPr>
              <w:rStyle w:val="PageNumber"/>
              <w:rFonts w:ascii="Arial" w:hAnsi="Arial" w:cs="Arial"/>
              <w:b/>
              <w:bCs/>
              <w:sz w:val="22"/>
              <w:szCs w:val="22"/>
            </w:rPr>
            <w:fldChar w:fldCharType="separate"/>
          </w:r>
          <w:r w:rsidR="00336544" w:rsidRPr="00F83709">
            <w:rPr>
              <w:rStyle w:val="PageNumber"/>
              <w:rFonts w:ascii="Arial" w:hAnsi="Arial" w:cs="Arial"/>
              <w:b/>
              <w:bCs/>
              <w:noProof/>
              <w:sz w:val="22"/>
              <w:szCs w:val="22"/>
            </w:rPr>
            <w:t>2</w:t>
          </w:r>
          <w:r w:rsidRPr="00F83709">
            <w:rPr>
              <w:rStyle w:val="PageNumber"/>
              <w:rFonts w:ascii="Arial" w:hAnsi="Arial" w:cs="Arial"/>
              <w:b/>
              <w:bCs/>
              <w:sz w:val="22"/>
              <w:szCs w:val="22"/>
            </w:rPr>
            <w:fldChar w:fldCharType="end"/>
          </w:r>
        </w:p>
      </w:tc>
    </w:tr>
    <w:tr w:rsidR="00F83709" w:rsidRPr="005A1AA9" w14:paraId="57CC785B" w14:textId="77777777" w:rsidTr="00031104">
      <w:tc>
        <w:tcPr>
          <w:tcW w:w="4712" w:type="dxa"/>
        </w:tcPr>
        <w:p w14:paraId="31791026" w14:textId="37DF80D1" w:rsidR="00F83709" w:rsidRPr="00F83709" w:rsidRDefault="00F83709">
          <w:pPr>
            <w:pStyle w:val="Footer"/>
            <w:rPr>
              <w:rFonts w:ascii="Arial" w:eastAsia="Arial" w:hAnsi="Arial" w:cs="Arial"/>
              <w:b/>
              <w:bCs/>
              <w:sz w:val="22"/>
              <w:szCs w:val="22"/>
              <w:lang w:val="es-MX"/>
            </w:rPr>
          </w:pPr>
          <w:r>
            <w:rPr>
              <w:rFonts w:ascii="Arial" w:eastAsia="Arial" w:hAnsi="Arial" w:cs="Arial"/>
              <w:b/>
              <w:bCs/>
              <w:sz w:val="22"/>
              <w:szCs w:val="22"/>
              <w:lang w:val="es-MX"/>
            </w:rPr>
            <w:t>Versión del manual: 4-0</w:t>
          </w:r>
        </w:p>
      </w:tc>
      <w:tc>
        <w:tcPr>
          <w:tcW w:w="4540" w:type="dxa"/>
        </w:tcPr>
        <w:p w14:paraId="0C6D4A6A" w14:textId="28198E36" w:rsidR="00F83709" w:rsidRPr="00F83709" w:rsidRDefault="00F83709" w:rsidP="00F83709">
          <w:pPr>
            <w:pStyle w:val="Footer"/>
            <w:jc w:val="right"/>
            <w:rPr>
              <w:rFonts w:ascii="Arial" w:eastAsia="Arial" w:hAnsi="Arial" w:cs="Arial"/>
              <w:b/>
              <w:bCs/>
              <w:sz w:val="22"/>
              <w:szCs w:val="22"/>
              <w:lang w:val="es-MX"/>
            </w:rPr>
          </w:pPr>
          <w:r>
            <w:rPr>
              <w:rFonts w:ascii="Arial" w:eastAsia="Arial" w:hAnsi="Arial" w:cs="Arial"/>
              <w:b/>
              <w:bCs/>
              <w:sz w:val="22"/>
              <w:szCs w:val="22"/>
              <w:lang w:val="es-MX"/>
            </w:rPr>
            <w:t xml:space="preserve">Fecha de entrada en vigor: </w:t>
          </w:r>
          <w:r w:rsidR="008B4701">
            <w:rPr>
              <w:rFonts w:ascii="Arial" w:eastAsia="Arial" w:hAnsi="Arial" w:cs="Arial"/>
              <w:b/>
              <w:bCs/>
              <w:sz w:val="22"/>
              <w:szCs w:val="22"/>
              <w:lang w:val="es-MX"/>
            </w:rPr>
            <w:t>10</w:t>
          </w:r>
          <w:r>
            <w:rPr>
              <w:rFonts w:ascii="Arial" w:eastAsia="Arial" w:hAnsi="Arial" w:cs="Arial"/>
              <w:b/>
              <w:bCs/>
              <w:sz w:val="22"/>
              <w:szCs w:val="22"/>
              <w:lang w:val="es-MX"/>
            </w:rPr>
            <w:t>/0</w:t>
          </w:r>
          <w:r w:rsidR="008B4701">
            <w:rPr>
              <w:rFonts w:ascii="Arial" w:eastAsia="Arial" w:hAnsi="Arial" w:cs="Arial"/>
              <w:b/>
              <w:bCs/>
              <w:sz w:val="22"/>
              <w:szCs w:val="22"/>
              <w:lang w:val="es-MX"/>
            </w:rPr>
            <w:t>8</w:t>
          </w:r>
          <w:r>
            <w:rPr>
              <w:rFonts w:ascii="Arial" w:eastAsia="Arial" w:hAnsi="Arial" w:cs="Arial"/>
              <w:b/>
              <w:bCs/>
              <w:sz w:val="22"/>
              <w:szCs w:val="22"/>
              <w:lang w:val="es-MX"/>
            </w:rPr>
            <w:t>/12</w:t>
          </w:r>
        </w:p>
      </w:tc>
    </w:tr>
  </w:tbl>
  <w:p w14:paraId="17121B62" w14:textId="48EEFEF7" w:rsidR="00603B77" w:rsidRPr="00F83709" w:rsidRDefault="00603B77">
    <w:pPr>
      <w:pStyle w:val="Footer"/>
      <w:rPr>
        <w:rFonts w:ascii="Arial" w:hAnsi="Arial" w:cs="Arial"/>
        <w:b/>
        <w:bCs/>
        <w:sz w:val="22"/>
        <w:szCs w:val="22"/>
        <w:lang w:val="es-MX"/>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FFEB5" w14:textId="77777777" w:rsidR="00031104" w:rsidRDefault="000311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F0B9DE" w14:textId="77777777" w:rsidR="00FA4C35" w:rsidRDefault="00FA4C35">
      <w:r>
        <w:separator/>
      </w:r>
    </w:p>
  </w:footnote>
  <w:footnote w:type="continuationSeparator" w:id="0">
    <w:p w14:paraId="5563C5AB" w14:textId="77777777" w:rsidR="00FA4C35" w:rsidRDefault="00FA4C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815E0" w14:textId="77777777" w:rsidR="00031104" w:rsidRDefault="000311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Light"/>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ayout w:type="fixed"/>
      <w:tblLook w:val="0020" w:firstRow="1" w:lastRow="0" w:firstColumn="0" w:lastColumn="0" w:noHBand="0" w:noVBand="0"/>
    </w:tblPr>
    <w:tblGrid>
      <w:gridCol w:w="6840"/>
      <w:gridCol w:w="2628"/>
    </w:tblGrid>
    <w:tr w:rsidR="00D814E4" w14:paraId="34EFB7FA" w14:textId="77777777" w:rsidTr="00031104">
      <w:tc>
        <w:tcPr>
          <w:tcW w:w="6840" w:type="dxa"/>
        </w:tcPr>
        <w:p w14:paraId="1B214451" w14:textId="40096742" w:rsidR="00603B77" w:rsidRPr="00F83709" w:rsidRDefault="00000000">
          <w:pPr>
            <w:pStyle w:val="Header"/>
            <w:rPr>
              <w:rFonts w:ascii="Arial" w:hAnsi="Arial" w:cs="Arial"/>
              <w:b/>
              <w:bCs/>
              <w:sz w:val="36"/>
              <w:lang w:val="es-MX"/>
              <w14:shadow w14:blurRad="50800" w14:dist="38100" w14:dir="2700000" w14:sx="100000" w14:sy="100000" w14:kx="0" w14:ky="0" w14:algn="tl">
                <w14:srgbClr w14:val="000000">
                  <w14:alpha w14:val="60000"/>
                </w14:srgbClr>
              </w14:shadow>
            </w:rPr>
          </w:pPr>
          <w:r>
            <w:rPr>
              <w:rFonts w:ascii="Arial" w:eastAsia="Arial" w:hAnsi="Arial" w:cs="Arial"/>
              <w:b/>
              <w:bCs/>
              <w:sz w:val="36"/>
              <w:szCs w:val="36"/>
              <w:lang w:val="es-MX"/>
            </w:rPr>
            <w:t>DIVISIÓN DE REHABILITACIÓN</w:t>
          </w:r>
          <w:r>
            <w:rPr>
              <w:rFonts w:ascii="Arial" w:eastAsia="Arial" w:hAnsi="Arial" w:cs="Arial"/>
              <w:b/>
              <w:bCs/>
              <w:sz w:val="36"/>
              <w:szCs w:val="36"/>
              <w:lang w:val="es-MX"/>
            </w:rPr>
            <w:tab/>
          </w:r>
        </w:p>
        <w:p w14:paraId="6646A7AC" w14:textId="77777777" w:rsidR="00603B77" w:rsidRPr="00F83709" w:rsidRDefault="00000000">
          <w:pPr>
            <w:pStyle w:val="Header"/>
            <w:rPr>
              <w:rFonts w:ascii="Arial" w:hAnsi="Arial" w:cs="Arial"/>
              <w:b/>
              <w:bCs/>
              <w:sz w:val="32"/>
              <w:lang w:val="es-MX"/>
            </w:rPr>
          </w:pPr>
          <w:r>
            <w:rPr>
              <w:rFonts w:ascii="Arial" w:eastAsia="Arial" w:hAnsi="Arial" w:cs="Arial"/>
              <w:b/>
              <w:bCs/>
              <w:sz w:val="32"/>
              <w:szCs w:val="32"/>
              <w:lang w:val="es-MX"/>
            </w:rPr>
            <w:t>MANUAL DE ADMINISTRACIÓN GENERAL</w:t>
          </w:r>
        </w:p>
        <w:p w14:paraId="3F9B5FEE" w14:textId="77777777" w:rsidR="00603B77" w:rsidRPr="003F1858" w:rsidRDefault="00000000">
          <w:pPr>
            <w:pStyle w:val="Header"/>
            <w:rPr>
              <w:rFonts w:ascii="Arial" w:hAnsi="Arial"/>
              <w:b/>
              <w:sz w:val="28"/>
            </w:rPr>
          </w:pPr>
          <w:r>
            <w:rPr>
              <w:rFonts w:ascii="Arial" w:eastAsia="Arial" w:hAnsi="Arial"/>
              <w:b/>
              <w:bCs/>
              <w:sz w:val="28"/>
              <w:szCs w:val="28"/>
              <w:lang w:val="es-MX"/>
            </w:rPr>
            <w:t>4.1 Rutas de venta asignadas a BEN</w:t>
          </w:r>
        </w:p>
      </w:tc>
      <w:tc>
        <w:tcPr>
          <w:tcW w:w="2628" w:type="dxa"/>
        </w:tcPr>
        <w:p w14:paraId="46BBFD42" w14:textId="3F266BFC" w:rsidR="00603B77" w:rsidRDefault="00595B87">
          <w:pPr>
            <w:pStyle w:val="Header"/>
            <w:jc w:val="center"/>
          </w:pPr>
          <w:r w:rsidRPr="00431329">
            <w:rPr>
              <w:rFonts w:ascii="Arial" w:hAnsi="Arial" w:cs="Arial"/>
              <w:b/>
              <w:bCs/>
              <w:noProof/>
              <w:sz w:val="40"/>
              <w14:shadow w14:blurRad="50800" w14:dist="38100" w14:dir="2700000" w14:sx="100000" w14:sy="100000" w14:kx="0" w14:ky="0" w14:algn="tl">
                <w14:srgbClr w14:val="000000">
                  <w14:alpha w14:val="60000"/>
                </w14:srgbClr>
              </w14:shadow>
            </w:rPr>
            <w:drawing>
              <wp:inline distT="0" distB="0" distL="0" distR="0" wp14:anchorId="7B512BCE" wp14:editId="72CF8FD5">
                <wp:extent cx="1821180" cy="746125"/>
                <wp:effectExtent l="0" t="0" r="0" b="0"/>
                <wp:docPr id="1" name="Picture 1" descr="Gráfico del Departamento de Empleo, Capacitación y Rehabilitación de Nev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áfico del Departamento de Empleo, Capacitación y Rehabilitación de Nevada"/>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21180" cy="746125"/>
                        </a:xfrm>
                        <a:prstGeom prst="rect">
                          <a:avLst/>
                        </a:prstGeom>
                        <a:noFill/>
                        <a:ln>
                          <a:noFill/>
                        </a:ln>
                      </pic:spPr>
                    </pic:pic>
                  </a:graphicData>
                </a:graphic>
              </wp:inline>
            </w:drawing>
          </w:r>
        </w:p>
      </w:tc>
    </w:tr>
  </w:tbl>
  <w:p w14:paraId="6B71B3FB" w14:textId="77777777" w:rsidR="00603B77" w:rsidRDefault="00603B77">
    <w:pPr>
      <w:pStyle w:val="Header"/>
    </w:pPr>
  </w:p>
  <w:p w14:paraId="04128CF0" w14:textId="77777777" w:rsidR="00603B77" w:rsidRDefault="00603B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4C72D" w14:textId="77777777" w:rsidR="00031104" w:rsidRDefault="000311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9533B"/>
    <w:multiLevelType w:val="hybridMultilevel"/>
    <w:tmpl w:val="96AE3508"/>
    <w:lvl w:ilvl="0" w:tplc="22126D6C">
      <w:start w:val="4"/>
      <w:numFmt w:val="decimal"/>
      <w:lvlText w:val="%1."/>
      <w:lvlJc w:val="left"/>
      <w:pPr>
        <w:tabs>
          <w:tab w:val="num" w:pos="360"/>
        </w:tabs>
        <w:ind w:left="360" w:hanging="360"/>
      </w:pPr>
      <w:rPr>
        <w:rFonts w:hint="default"/>
      </w:rPr>
    </w:lvl>
    <w:lvl w:ilvl="1" w:tplc="2278B206" w:tentative="1">
      <w:start w:val="1"/>
      <w:numFmt w:val="lowerLetter"/>
      <w:lvlText w:val="%2."/>
      <w:lvlJc w:val="left"/>
      <w:pPr>
        <w:tabs>
          <w:tab w:val="num" w:pos="1080"/>
        </w:tabs>
        <w:ind w:left="1080" w:hanging="360"/>
      </w:pPr>
    </w:lvl>
    <w:lvl w:ilvl="2" w:tplc="0B1ECD6A" w:tentative="1">
      <w:start w:val="1"/>
      <w:numFmt w:val="lowerRoman"/>
      <w:lvlText w:val="%3."/>
      <w:lvlJc w:val="right"/>
      <w:pPr>
        <w:tabs>
          <w:tab w:val="num" w:pos="1800"/>
        </w:tabs>
        <w:ind w:left="1800" w:hanging="180"/>
      </w:pPr>
    </w:lvl>
    <w:lvl w:ilvl="3" w:tplc="D84A1A24" w:tentative="1">
      <w:start w:val="1"/>
      <w:numFmt w:val="decimal"/>
      <w:lvlText w:val="%4."/>
      <w:lvlJc w:val="left"/>
      <w:pPr>
        <w:tabs>
          <w:tab w:val="num" w:pos="2520"/>
        </w:tabs>
        <w:ind w:left="2520" w:hanging="360"/>
      </w:pPr>
    </w:lvl>
    <w:lvl w:ilvl="4" w:tplc="5952258C" w:tentative="1">
      <w:start w:val="1"/>
      <w:numFmt w:val="lowerLetter"/>
      <w:lvlText w:val="%5."/>
      <w:lvlJc w:val="left"/>
      <w:pPr>
        <w:tabs>
          <w:tab w:val="num" w:pos="3240"/>
        </w:tabs>
        <w:ind w:left="3240" w:hanging="360"/>
      </w:pPr>
    </w:lvl>
    <w:lvl w:ilvl="5" w:tplc="B4FCDB02" w:tentative="1">
      <w:start w:val="1"/>
      <w:numFmt w:val="lowerRoman"/>
      <w:lvlText w:val="%6."/>
      <w:lvlJc w:val="right"/>
      <w:pPr>
        <w:tabs>
          <w:tab w:val="num" w:pos="3960"/>
        </w:tabs>
        <w:ind w:left="3960" w:hanging="180"/>
      </w:pPr>
    </w:lvl>
    <w:lvl w:ilvl="6" w:tplc="97A28A5A" w:tentative="1">
      <w:start w:val="1"/>
      <w:numFmt w:val="decimal"/>
      <w:lvlText w:val="%7."/>
      <w:lvlJc w:val="left"/>
      <w:pPr>
        <w:tabs>
          <w:tab w:val="num" w:pos="4680"/>
        </w:tabs>
        <w:ind w:left="4680" w:hanging="360"/>
      </w:pPr>
    </w:lvl>
    <w:lvl w:ilvl="7" w:tplc="1696E722" w:tentative="1">
      <w:start w:val="1"/>
      <w:numFmt w:val="lowerLetter"/>
      <w:lvlText w:val="%8."/>
      <w:lvlJc w:val="left"/>
      <w:pPr>
        <w:tabs>
          <w:tab w:val="num" w:pos="5400"/>
        </w:tabs>
        <w:ind w:left="5400" w:hanging="360"/>
      </w:pPr>
    </w:lvl>
    <w:lvl w:ilvl="8" w:tplc="A1BC2B42" w:tentative="1">
      <w:start w:val="1"/>
      <w:numFmt w:val="lowerRoman"/>
      <w:lvlText w:val="%9."/>
      <w:lvlJc w:val="right"/>
      <w:pPr>
        <w:tabs>
          <w:tab w:val="num" w:pos="6120"/>
        </w:tabs>
        <w:ind w:left="6120" w:hanging="180"/>
      </w:pPr>
    </w:lvl>
  </w:abstractNum>
  <w:abstractNum w:abstractNumId="1" w15:restartNumberingAfterBreak="0">
    <w:nsid w:val="132B1188"/>
    <w:multiLevelType w:val="hybridMultilevel"/>
    <w:tmpl w:val="9F120336"/>
    <w:lvl w:ilvl="0" w:tplc="41B0841C">
      <w:start w:val="1"/>
      <w:numFmt w:val="bullet"/>
      <w:lvlText w:val=""/>
      <w:lvlJc w:val="left"/>
      <w:pPr>
        <w:tabs>
          <w:tab w:val="num" w:pos="1080"/>
        </w:tabs>
        <w:ind w:left="1080" w:hanging="360"/>
      </w:pPr>
      <w:rPr>
        <w:rFonts w:ascii="Symbol" w:hAnsi="Symbol" w:hint="default"/>
      </w:rPr>
    </w:lvl>
    <w:lvl w:ilvl="1" w:tplc="BADABCB2" w:tentative="1">
      <w:start w:val="1"/>
      <w:numFmt w:val="bullet"/>
      <w:lvlText w:val="o"/>
      <w:lvlJc w:val="left"/>
      <w:pPr>
        <w:tabs>
          <w:tab w:val="num" w:pos="1800"/>
        </w:tabs>
        <w:ind w:left="1800" w:hanging="360"/>
      </w:pPr>
      <w:rPr>
        <w:rFonts w:ascii="Courier New" w:hAnsi="Courier New" w:hint="default"/>
      </w:rPr>
    </w:lvl>
    <w:lvl w:ilvl="2" w:tplc="9370D8A4" w:tentative="1">
      <w:start w:val="1"/>
      <w:numFmt w:val="bullet"/>
      <w:lvlText w:val=""/>
      <w:lvlJc w:val="left"/>
      <w:pPr>
        <w:tabs>
          <w:tab w:val="num" w:pos="2520"/>
        </w:tabs>
        <w:ind w:left="2520" w:hanging="360"/>
      </w:pPr>
      <w:rPr>
        <w:rFonts w:ascii="Wingdings" w:hAnsi="Wingdings" w:hint="default"/>
      </w:rPr>
    </w:lvl>
    <w:lvl w:ilvl="3" w:tplc="83281146" w:tentative="1">
      <w:start w:val="1"/>
      <w:numFmt w:val="bullet"/>
      <w:lvlText w:val=""/>
      <w:lvlJc w:val="left"/>
      <w:pPr>
        <w:tabs>
          <w:tab w:val="num" w:pos="3240"/>
        </w:tabs>
        <w:ind w:left="3240" w:hanging="360"/>
      </w:pPr>
      <w:rPr>
        <w:rFonts w:ascii="Symbol" w:hAnsi="Symbol" w:hint="default"/>
      </w:rPr>
    </w:lvl>
    <w:lvl w:ilvl="4" w:tplc="F226670E" w:tentative="1">
      <w:start w:val="1"/>
      <w:numFmt w:val="bullet"/>
      <w:lvlText w:val="o"/>
      <w:lvlJc w:val="left"/>
      <w:pPr>
        <w:tabs>
          <w:tab w:val="num" w:pos="3960"/>
        </w:tabs>
        <w:ind w:left="3960" w:hanging="360"/>
      </w:pPr>
      <w:rPr>
        <w:rFonts w:ascii="Courier New" w:hAnsi="Courier New" w:hint="default"/>
      </w:rPr>
    </w:lvl>
    <w:lvl w:ilvl="5" w:tplc="07EA163C" w:tentative="1">
      <w:start w:val="1"/>
      <w:numFmt w:val="bullet"/>
      <w:lvlText w:val=""/>
      <w:lvlJc w:val="left"/>
      <w:pPr>
        <w:tabs>
          <w:tab w:val="num" w:pos="4680"/>
        </w:tabs>
        <w:ind w:left="4680" w:hanging="360"/>
      </w:pPr>
      <w:rPr>
        <w:rFonts w:ascii="Wingdings" w:hAnsi="Wingdings" w:hint="default"/>
      </w:rPr>
    </w:lvl>
    <w:lvl w:ilvl="6" w:tplc="63FC3824" w:tentative="1">
      <w:start w:val="1"/>
      <w:numFmt w:val="bullet"/>
      <w:lvlText w:val=""/>
      <w:lvlJc w:val="left"/>
      <w:pPr>
        <w:tabs>
          <w:tab w:val="num" w:pos="5400"/>
        </w:tabs>
        <w:ind w:left="5400" w:hanging="360"/>
      </w:pPr>
      <w:rPr>
        <w:rFonts w:ascii="Symbol" w:hAnsi="Symbol" w:hint="default"/>
      </w:rPr>
    </w:lvl>
    <w:lvl w:ilvl="7" w:tplc="381E2826" w:tentative="1">
      <w:start w:val="1"/>
      <w:numFmt w:val="bullet"/>
      <w:lvlText w:val="o"/>
      <w:lvlJc w:val="left"/>
      <w:pPr>
        <w:tabs>
          <w:tab w:val="num" w:pos="6120"/>
        </w:tabs>
        <w:ind w:left="6120" w:hanging="360"/>
      </w:pPr>
      <w:rPr>
        <w:rFonts w:ascii="Courier New" w:hAnsi="Courier New" w:hint="default"/>
      </w:rPr>
    </w:lvl>
    <w:lvl w:ilvl="8" w:tplc="AEC41742"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44286A17"/>
    <w:multiLevelType w:val="hybridMultilevel"/>
    <w:tmpl w:val="11EAAECC"/>
    <w:lvl w:ilvl="0" w:tplc="6A64F63C">
      <w:start w:val="2"/>
      <w:numFmt w:val="decimal"/>
      <w:lvlText w:val="%1."/>
      <w:lvlJc w:val="left"/>
      <w:pPr>
        <w:tabs>
          <w:tab w:val="num" w:pos="720"/>
        </w:tabs>
        <w:ind w:left="720" w:hanging="360"/>
      </w:pPr>
      <w:rPr>
        <w:rFonts w:hint="default"/>
      </w:rPr>
    </w:lvl>
    <w:lvl w:ilvl="1" w:tplc="0B4CB184" w:tentative="1">
      <w:start w:val="1"/>
      <w:numFmt w:val="lowerLetter"/>
      <w:lvlText w:val="%2."/>
      <w:lvlJc w:val="left"/>
      <w:pPr>
        <w:tabs>
          <w:tab w:val="num" w:pos="1440"/>
        </w:tabs>
        <w:ind w:left="1440" w:hanging="360"/>
      </w:pPr>
    </w:lvl>
    <w:lvl w:ilvl="2" w:tplc="931ACBF4" w:tentative="1">
      <w:start w:val="1"/>
      <w:numFmt w:val="lowerRoman"/>
      <w:lvlText w:val="%3."/>
      <w:lvlJc w:val="right"/>
      <w:pPr>
        <w:tabs>
          <w:tab w:val="num" w:pos="2160"/>
        </w:tabs>
        <w:ind w:left="2160" w:hanging="180"/>
      </w:pPr>
    </w:lvl>
    <w:lvl w:ilvl="3" w:tplc="F5903676" w:tentative="1">
      <w:start w:val="1"/>
      <w:numFmt w:val="decimal"/>
      <w:lvlText w:val="%4."/>
      <w:lvlJc w:val="left"/>
      <w:pPr>
        <w:tabs>
          <w:tab w:val="num" w:pos="2880"/>
        </w:tabs>
        <w:ind w:left="2880" w:hanging="360"/>
      </w:pPr>
    </w:lvl>
    <w:lvl w:ilvl="4" w:tplc="A254E582" w:tentative="1">
      <w:start w:val="1"/>
      <w:numFmt w:val="lowerLetter"/>
      <w:lvlText w:val="%5."/>
      <w:lvlJc w:val="left"/>
      <w:pPr>
        <w:tabs>
          <w:tab w:val="num" w:pos="3600"/>
        </w:tabs>
        <w:ind w:left="3600" w:hanging="360"/>
      </w:pPr>
    </w:lvl>
    <w:lvl w:ilvl="5" w:tplc="3318AEB4" w:tentative="1">
      <w:start w:val="1"/>
      <w:numFmt w:val="lowerRoman"/>
      <w:lvlText w:val="%6."/>
      <w:lvlJc w:val="right"/>
      <w:pPr>
        <w:tabs>
          <w:tab w:val="num" w:pos="4320"/>
        </w:tabs>
        <w:ind w:left="4320" w:hanging="180"/>
      </w:pPr>
    </w:lvl>
    <w:lvl w:ilvl="6" w:tplc="B40CD576" w:tentative="1">
      <w:start w:val="1"/>
      <w:numFmt w:val="decimal"/>
      <w:lvlText w:val="%7."/>
      <w:lvlJc w:val="left"/>
      <w:pPr>
        <w:tabs>
          <w:tab w:val="num" w:pos="5040"/>
        </w:tabs>
        <w:ind w:left="5040" w:hanging="360"/>
      </w:pPr>
    </w:lvl>
    <w:lvl w:ilvl="7" w:tplc="9AF63FBA" w:tentative="1">
      <w:start w:val="1"/>
      <w:numFmt w:val="lowerLetter"/>
      <w:lvlText w:val="%8."/>
      <w:lvlJc w:val="left"/>
      <w:pPr>
        <w:tabs>
          <w:tab w:val="num" w:pos="5760"/>
        </w:tabs>
        <w:ind w:left="5760" w:hanging="360"/>
      </w:pPr>
    </w:lvl>
    <w:lvl w:ilvl="8" w:tplc="37E60436" w:tentative="1">
      <w:start w:val="1"/>
      <w:numFmt w:val="lowerRoman"/>
      <w:lvlText w:val="%9."/>
      <w:lvlJc w:val="right"/>
      <w:pPr>
        <w:tabs>
          <w:tab w:val="num" w:pos="6480"/>
        </w:tabs>
        <w:ind w:left="6480" w:hanging="180"/>
      </w:pPr>
    </w:lvl>
  </w:abstractNum>
  <w:abstractNum w:abstractNumId="3" w15:restartNumberingAfterBreak="0">
    <w:nsid w:val="5E326CC7"/>
    <w:multiLevelType w:val="hybridMultilevel"/>
    <w:tmpl w:val="A59E29E0"/>
    <w:lvl w:ilvl="0" w:tplc="D55CCBD8">
      <w:start w:val="1"/>
      <w:numFmt w:val="bullet"/>
      <w:lvlText w:val=""/>
      <w:lvlJc w:val="left"/>
      <w:pPr>
        <w:tabs>
          <w:tab w:val="num" w:pos="1080"/>
        </w:tabs>
        <w:ind w:left="1080" w:hanging="360"/>
      </w:pPr>
      <w:rPr>
        <w:rFonts w:ascii="Symbol" w:hAnsi="Symbol" w:hint="default"/>
      </w:rPr>
    </w:lvl>
    <w:lvl w:ilvl="1" w:tplc="9BBCEA4C" w:tentative="1">
      <w:start w:val="1"/>
      <w:numFmt w:val="bullet"/>
      <w:lvlText w:val="o"/>
      <w:lvlJc w:val="left"/>
      <w:pPr>
        <w:tabs>
          <w:tab w:val="num" w:pos="1800"/>
        </w:tabs>
        <w:ind w:left="1800" w:hanging="360"/>
      </w:pPr>
      <w:rPr>
        <w:rFonts w:ascii="Courier New" w:hAnsi="Courier New" w:hint="default"/>
      </w:rPr>
    </w:lvl>
    <w:lvl w:ilvl="2" w:tplc="1D4A115C" w:tentative="1">
      <w:start w:val="1"/>
      <w:numFmt w:val="bullet"/>
      <w:lvlText w:val=""/>
      <w:lvlJc w:val="left"/>
      <w:pPr>
        <w:tabs>
          <w:tab w:val="num" w:pos="2520"/>
        </w:tabs>
        <w:ind w:left="2520" w:hanging="360"/>
      </w:pPr>
      <w:rPr>
        <w:rFonts w:ascii="Wingdings" w:hAnsi="Wingdings" w:hint="default"/>
      </w:rPr>
    </w:lvl>
    <w:lvl w:ilvl="3" w:tplc="7CA43546" w:tentative="1">
      <w:start w:val="1"/>
      <w:numFmt w:val="bullet"/>
      <w:lvlText w:val=""/>
      <w:lvlJc w:val="left"/>
      <w:pPr>
        <w:tabs>
          <w:tab w:val="num" w:pos="3240"/>
        </w:tabs>
        <w:ind w:left="3240" w:hanging="360"/>
      </w:pPr>
      <w:rPr>
        <w:rFonts w:ascii="Symbol" w:hAnsi="Symbol" w:hint="default"/>
      </w:rPr>
    </w:lvl>
    <w:lvl w:ilvl="4" w:tplc="41AA67A2" w:tentative="1">
      <w:start w:val="1"/>
      <w:numFmt w:val="bullet"/>
      <w:lvlText w:val="o"/>
      <w:lvlJc w:val="left"/>
      <w:pPr>
        <w:tabs>
          <w:tab w:val="num" w:pos="3960"/>
        </w:tabs>
        <w:ind w:left="3960" w:hanging="360"/>
      </w:pPr>
      <w:rPr>
        <w:rFonts w:ascii="Courier New" w:hAnsi="Courier New" w:hint="default"/>
      </w:rPr>
    </w:lvl>
    <w:lvl w:ilvl="5" w:tplc="18921E66" w:tentative="1">
      <w:start w:val="1"/>
      <w:numFmt w:val="bullet"/>
      <w:lvlText w:val=""/>
      <w:lvlJc w:val="left"/>
      <w:pPr>
        <w:tabs>
          <w:tab w:val="num" w:pos="4680"/>
        </w:tabs>
        <w:ind w:left="4680" w:hanging="360"/>
      </w:pPr>
      <w:rPr>
        <w:rFonts w:ascii="Wingdings" w:hAnsi="Wingdings" w:hint="default"/>
      </w:rPr>
    </w:lvl>
    <w:lvl w:ilvl="6" w:tplc="B8784478" w:tentative="1">
      <w:start w:val="1"/>
      <w:numFmt w:val="bullet"/>
      <w:lvlText w:val=""/>
      <w:lvlJc w:val="left"/>
      <w:pPr>
        <w:tabs>
          <w:tab w:val="num" w:pos="5400"/>
        </w:tabs>
        <w:ind w:left="5400" w:hanging="360"/>
      </w:pPr>
      <w:rPr>
        <w:rFonts w:ascii="Symbol" w:hAnsi="Symbol" w:hint="default"/>
      </w:rPr>
    </w:lvl>
    <w:lvl w:ilvl="7" w:tplc="3E0A8596" w:tentative="1">
      <w:start w:val="1"/>
      <w:numFmt w:val="bullet"/>
      <w:lvlText w:val="o"/>
      <w:lvlJc w:val="left"/>
      <w:pPr>
        <w:tabs>
          <w:tab w:val="num" w:pos="6120"/>
        </w:tabs>
        <w:ind w:left="6120" w:hanging="360"/>
      </w:pPr>
      <w:rPr>
        <w:rFonts w:ascii="Courier New" w:hAnsi="Courier New" w:hint="default"/>
      </w:rPr>
    </w:lvl>
    <w:lvl w:ilvl="8" w:tplc="4FF4B488"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6B0C6968"/>
    <w:multiLevelType w:val="hybridMultilevel"/>
    <w:tmpl w:val="8A28ABD0"/>
    <w:lvl w:ilvl="0" w:tplc="0AC0C154">
      <w:start w:val="1"/>
      <w:numFmt w:val="lowerLetter"/>
      <w:lvlText w:val="(%1)"/>
      <w:lvlJc w:val="left"/>
      <w:pPr>
        <w:tabs>
          <w:tab w:val="num" w:pos="1565"/>
        </w:tabs>
        <w:ind w:left="1565" w:hanging="960"/>
      </w:pPr>
      <w:rPr>
        <w:rFonts w:hint="default"/>
      </w:rPr>
    </w:lvl>
    <w:lvl w:ilvl="1" w:tplc="4984A666">
      <w:start w:val="1"/>
      <w:numFmt w:val="lowerLetter"/>
      <w:lvlText w:val="%2."/>
      <w:lvlJc w:val="left"/>
      <w:pPr>
        <w:tabs>
          <w:tab w:val="num" w:pos="1685"/>
        </w:tabs>
        <w:ind w:left="1685" w:hanging="360"/>
      </w:pPr>
    </w:lvl>
    <w:lvl w:ilvl="2" w:tplc="47EA5AE0">
      <w:start w:val="1"/>
      <w:numFmt w:val="lowerRoman"/>
      <w:lvlText w:val="%3."/>
      <w:lvlJc w:val="right"/>
      <w:pPr>
        <w:tabs>
          <w:tab w:val="num" w:pos="2405"/>
        </w:tabs>
        <w:ind w:left="2405" w:hanging="180"/>
      </w:pPr>
    </w:lvl>
    <w:lvl w:ilvl="3" w:tplc="A2A2A4F0" w:tentative="1">
      <w:start w:val="1"/>
      <w:numFmt w:val="decimal"/>
      <w:lvlText w:val="%4."/>
      <w:lvlJc w:val="left"/>
      <w:pPr>
        <w:tabs>
          <w:tab w:val="num" w:pos="3125"/>
        </w:tabs>
        <w:ind w:left="3125" w:hanging="360"/>
      </w:pPr>
    </w:lvl>
    <w:lvl w:ilvl="4" w:tplc="1C985D00" w:tentative="1">
      <w:start w:val="1"/>
      <w:numFmt w:val="lowerLetter"/>
      <w:lvlText w:val="%5."/>
      <w:lvlJc w:val="left"/>
      <w:pPr>
        <w:tabs>
          <w:tab w:val="num" w:pos="3845"/>
        </w:tabs>
        <w:ind w:left="3845" w:hanging="360"/>
      </w:pPr>
    </w:lvl>
    <w:lvl w:ilvl="5" w:tplc="1B56FCF2" w:tentative="1">
      <w:start w:val="1"/>
      <w:numFmt w:val="lowerRoman"/>
      <w:lvlText w:val="%6."/>
      <w:lvlJc w:val="right"/>
      <w:pPr>
        <w:tabs>
          <w:tab w:val="num" w:pos="4565"/>
        </w:tabs>
        <w:ind w:left="4565" w:hanging="180"/>
      </w:pPr>
    </w:lvl>
    <w:lvl w:ilvl="6" w:tplc="8E5CC33E" w:tentative="1">
      <w:start w:val="1"/>
      <w:numFmt w:val="decimal"/>
      <w:lvlText w:val="%7."/>
      <w:lvlJc w:val="left"/>
      <w:pPr>
        <w:tabs>
          <w:tab w:val="num" w:pos="5285"/>
        </w:tabs>
        <w:ind w:left="5285" w:hanging="360"/>
      </w:pPr>
    </w:lvl>
    <w:lvl w:ilvl="7" w:tplc="D5688D70" w:tentative="1">
      <w:start w:val="1"/>
      <w:numFmt w:val="lowerLetter"/>
      <w:lvlText w:val="%8."/>
      <w:lvlJc w:val="left"/>
      <w:pPr>
        <w:tabs>
          <w:tab w:val="num" w:pos="6005"/>
        </w:tabs>
        <w:ind w:left="6005" w:hanging="360"/>
      </w:pPr>
    </w:lvl>
    <w:lvl w:ilvl="8" w:tplc="AE045C06" w:tentative="1">
      <w:start w:val="1"/>
      <w:numFmt w:val="lowerRoman"/>
      <w:lvlText w:val="%9."/>
      <w:lvlJc w:val="right"/>
      <w:pPr>
        <w:tabs>
          <w:tab w:val="num" w:pos="6725"/>
        </w:tabs>
        <w:ind w:left="6725" w:hanging="180"/>
      </w:pPr>
    </w:lvl>
  </w:abstractNum>
  <w:abstractNum w:abstractNumId="5" w15:restartNumberingAfterBreak="0">
    <w:nsid w:val="7E1C571A"/>
    <w:multiLevelType w:val="hybridMultilevel"/>
    <w:tmpl w:val="526A0922"/>
    <w:lvl w:ilvl="0" w:tplc="2A3A517A">
      <w:start w:val="1"/>
      <w:numFmt w:val="lowerLetter"/>
      <w:lvlText w:val="(%1)"/>
      <w:lvlJc w:val="left"/>
      <w:pPr>
        <w:tabs>
          <w:tab w:val="num" w:pos="1440"/>
        </w:tabs>
        <w:ind w:left="1440" w:hanging="720"/>
      </w:pPr>
      <w:rPr>
        <w:rFonts w:hint="default"/>
      </w:rPr>
    </w:lvl>
    <w:lvl w:ilvl="1" w:tplc="38EC48A0" w:tentative="1">
      <w:start w:val="1"/>
      <w:numFmt w:val="lowerLetter"/>
      <w:lvlText w:val="%2."/>
      <w:lvlJc w:val="left"/>
      <w:pPr>
        <w:tabs>
          <w:tab w:val="num" w:pos="1800"/>
        </w:tabs>
        <w:ind w:left="1800" w:hanging="360"/>
      </w:pPr>
    </w:lvl>
    <w:lvl w:ilvl="2" w:tplc="A7026316" w:tentative="1">
      <w:start w:val="1"/>
      <w:numFmt w:val="lowerRoman"/>
      <w:lvlText w:val="%3."/>
      <w:lvlJc w:val="right"/>
      <w:pPr>
        <w:tabs>
          <w:tab w:val="num" w:pos="2520"/>
        </w:tabs>
        <w:ind w:left="2520" w:hanging="180"/>
      </w:pPr>
    </w:lvl>
    <w:lvl w:ilvl="3" w:tplc="A75A946E" w:tentative="1">
      <w:start w:val="1"/>
      <w:numFmt w:val="decimal"/>
      <w:lvlText w:val="%4."/>
      <w:lvlJc w:val="left"/>
      <w:pPr>
        <w:tabs>
          <w:tab w:val="num" w:pos="3240"/>
        </w:tabs>
        <w:ind w:left="3240" w:hanging="360"/>
      </w:pPr>
    </w:lvl>
    <w:lvl w:ilvl="4" w:tplc="A732DBB6" w:tentative="1">
      <w:start w:val="1"/>
      <w:numFmt w:val="lowerLetter"/>
      <w:lvlText w:val="%5."/>
      <w:lvlJc w:val="left"/>
      <w:pPr>
        <w:tabs>
          <w:tab w:val="num" w:pos="3960"/>
        </w:tabs>
        <w:ind w:left="3960" w:hanging="360"/>
      </w:pPr>
    </w:lvl>
    <w:lvl w:ilvl="5" w:tplc="8A16FABC" w:tentative="1">
      <w:start w:val="1"/>
      <w:numFmt w:val="lowerRoman"/>
      <w:lvlText w:val="%6."/>
      <w:lvlJc w:val="right"/>
      <w:pPr>
        <w:tabs>
          <w:tab w:val="num" w:pos="4680"/>
        </w:tabs>
        <w:ind w:left="4680" w:hanging="180"/>
      </w:pPr>
    </w:lvl>
    <w:lvl w:ilvl="6" w:tplc="AF34E57A" w:tentative="1">
      <w:start w:val="1"/>
      <w:numFmt w:val="decimal"/>
      <w:lvlText w:val="%7."/>
      <w:lvlJc w:val="left"/>
      <w:pPr>
        <w:tabs>
          <w:tab w:val="num" w:pos="5400"/>
        </w:tabs>
        <w:ind w:left="5400" w:hanging="360"/>
      </w:pPr>
    </w:lvl>
    <w:lvl w:ilvl="7" w:tplc="FAFA07A2" w:tentative="1">
      <w:start w:val="1"/>
      <w:numFmt w:val="lowerLetter"/>
      <w:lvlText w:val="%8."/>
      <w:lvlJc w:val="left"/>
      <w:pPr>
        <w:tabs>
          <w:tab w:val="num" w:pos="6120"/>
        </w:tabs>
        <w:ind w:left="6120" w:hanging="360"/>
      </w:pPr>
    </w:lvl>
    <w:lvl w:ilvl="8" w:tplc="0CBCFCCC" w:tentative="1">
      <w:start w:val="1"/>
      <w:numFmt w:val="lowerRoman"/>
      <w:lvlText w:val="%9."/>
      <w:lvlJc w:val="right"/>
      <w:pPr>
        <w:tabs>
          <w:tab w:val="num" w:pos="6840"/>
        </w:tabs>
        <w:ind w:left="6840" w:hanging="180"/>
      </w:pPr>
    </w:lvl>
  </w:abstractNum>
  <w:abstractNum w:abstractNumId="6" w15:restartNumberingAfterBreak="0">
    <w:nsid w:val="7F6234BB"/>
    <w:multiLevelType w:val="hybridMultilevel"/>
    <w:tmpl w:val="2B025C1A"/>
    <w:lvl w:ilvl="0" w:tplc="A8149F9A">
      <w:start w:val="2"/>
      <w:numFmt w:val="decimal"/>
      <w:lvlText w:val="%1."/>
      <w:lvlJc w:val="left"/>
      <w:pPr>
        <w:tabs>
          <w:tab w:val="num" w:pos="720"/>
        </w:tabs>
        <w:ind w:left="720" w:hanging="360"/>
      </w:pPr>
      <w:rPr>
        <w:rFonts w:hint="default"/>
      </w:rPr>
    </w:lvl>
    <w:lvl w:ilvl="1" w:tplc="5AF04498" w:tentative="1">
      <w:start w:val="1"/>
      <w:numFmt w:val="lowerLetter"/>
      <w:lvlText w:val="%2."/>
      <w:lvlJc w:val="left"/>
      <w:pPr>
        <w:tabs>
          <w:tab w:val="num" w:pos="1440"/>
        </w:tabs>
        <w:ind w:left="1440" w:hanging="360"/>
      </w:pPr>
    </w:lvl>
    <w:lvl w:ilvl="2" w:tplc="D0D07B9A" w:tentative="1">
      <w:start w:val="1"/>
      <w:numFmt w:val="lowerRoman"/>
      <w:lvlText w:val="%3."/>
      <w:lvlJc w:val="right"/>
      <w:pPr>
        <w:tabs>
          <w:tab w:val="num" w:pos="2160"/>
        </w:tabs>
        <w:ind w:left="2160" w:hanging="180"/>
      </w:pPr>
    </w:lvl>
    <w:lvl w:ilvl="3" w:tplc="4782934E" w:tentative="1">
      <w:start w:val="1"/>
      <w:numFmt w:val="decimal"/>
      <w:lvlText w:val="%4."/>
      <w:lvlJc w:val="left"/>
      <w:pPr>
        <w:tabs>
          <w:tab w:val="num" w:pos="2880"/>
        </w:tabs>
        <w:ind w:left="2880" w:hanging="360"/>
      </w:pPr>
    </w:lvl>
    <w:lvl w:ilvl="4" w:tplc="8138AAE6" w:tentative="1">
      <w:start w:val="1"/>
      <w:numFmt w:val="lowerLetter"/>
      <w:lvlText w:val="%5."/>
      <w:lvlJc w:val="left"/>
      <w:pPr>
        <w:tabs>
          <w:tab w:val="num" w:pos="3600"/>
        </w:tabs>
        <w:ind w:left="3600" w:hanging="360"/>
      </w:pPr>
    </w:lvl>
    <w:lvl w:ilvl="5" w:tplc="C0D8C81E" w:tentative="1">
      <w:start w:val="1"/>
      <w:numFmt w:val="lowerRoman"/>
      <w:lvlText w:val="%6."/>
      <w:lvlJc w:val="right"/>
      <w:pPr>
        <w:tabs>
          <w:tab w:val="num" w:pos="4320"/>
        </w:tabs>
        <w:ind w:left="4320" w:hanging="180"/>
      </w:pPr>
    </w:lvl>
    <w:lvl w:ilvl="6" w:tplc="E0F6C3E8" w:tentative="1">
      <w:start w:val="1"/>
      <w:numFmt w:val="decimal"/>
      <w:lvlText w:val="%7."/>
      <w:lvlJc w:val="left"/>
      <w:pPr>
        <w:tabs>
          <w:tab w:val="num" w:pos="5040"/>
        </w:tabs>
        <w:ind w:left="5040" w:hanging="360"/>
      </w:pPr>
    </w:lvl>
    <w:lvl w:ilvl="7" w:tplc="1F5C735A" w:tentative="1">
      <w:start w:val="1"/>
      <w:numFmt w:val="lowerLetter"/>
      <w:lvlText w:val="%8."/>
      <w:lvlJc w:val="left"/>
      <w:pPr>
        <w:tabs>
          <w:tab w:val="num" w:pos="5760"/>
        </w:tabs>
        <w:ind w:left="5760" w:hanging="360"/>
      </w:pPr>
    </w:lvl>
    <w:lvl w:ilvl="8" w:tplc="BB66AADC" w:tentative="1">
      <w:start w:val="1"/>
      <w:numFmt w:val="lowerRoman"/>
      <w:lvlText w:val="%9."/>
      <w:lvlJc w:val="right"/>
      <w:pPr>
        <w:tabs>
          <w:tab w:val="num" w:pos="6480"/>
        </w:tabs>
        <w:ind w:left="6480" w:hanging="180"/>
      </w:pPr>
    </w:lvl>
  </w:abstractNum>
  <w:num w:numId="1" w16cid:durableId="254166425">
    <w:abstractNumId w:val="4"/>
  </w:num>
  <w:num w:numId="2" w16cid:durableId="63340294">
    <w:abstractNumId w:val="0"/>
  </w:num>
  <w:num w:numId="3" w16cid:durableId="1747338335">
    <w:abstractNumId w:val="5"/>
  </w:num>
  <w:num w:numId="4" w16cid:durableId="1392922611">
    <w:abstractNumId w:val="2"/>
  </w:num>
  <w:num w:numId="5" w16cid:durableId="29960057">
    <w:abstractNumId w:val="1"/>
  </w:num>
  <w:num w:numId="6" w16cid:durableId="1311984795">
    <w:abstractNumId w:val="3"/>
  </w:num>
  <w:num w:numId="7" w16cid:durableId="76527120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hyphenationZone w:val="425"/>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543"/>
    <w:rsid w:val="00005EC2"/>
    <w:rsid w:val="00021DA5"/>
    <w:rsid w:val="00031104"/>
    <w:rsid w:val="00056F17"/>
    <w:rsid w:val="00073AD3"/>
    <w:rsid w:val="00096644"/>
    <w:rsid w:val="000B40CB"/>
    <w:rsid w:val="0013682A"/>
    <w:rsid w:val="00150021"/>
    <w:rsid w:val="00150BAD"/>
    <w:rsid w:val="00260978"/>
    <w:rsid w:val="00261FE9"/>
    <w:rsid w:val="00267EDE"/>
    <w:rsid w:val="00272F9A"/>
    <w:rsid w:val="0029774B"/>
    <w:rsid w:val="00317862"/>
    <w:rsid w:val="00326DF3"/>
    <w:rsid w:val="00336544"/>
    <w:rsid w:val="003856F7"/>
    <w:rsid w:val="003A1859"/>
    <w:rsid w:val="003B77D7"/>
    <w:rsid w:val="003C07D5"/>
    <w:rsid w:val="003F1858"/>
    <w:rsid w:val="003F2F34"/>
    <w:rsid w:val="003F7716"/>
    <w:rsid w:val="00431329"/>
    <w:rsid w:val="00496ED5"/>
    <w:rsid w:val="004F1833"/>
    <w:rsid w:val="00545822"/>
    <w:rsid w:val="00557ABD"/>
    <w:rsid w:val="005619AC"/>
    <w:rsid w:val="00562D41"/>
    <w:rsid w:val="00562DCF"/>
    <w:rsid w:val="00563D89"/>
    <w:rsid w:val="00595B87"/>
    <w:rsid w:val="005A1AA9"/>
    <w:rsid w:val="00603B77"/>
    <w:rsid w:val="006059ED"/>
    <w:rsid w:val="0065185E"/>
    <w:rsid w:val="00656478"/>
    <w:rsid w:val="00692805"/>
    <w:rsid w:val="0069365C"/>
    <w:rsid w:val="006949EA"/>
    <w:rsid w:val="006D26A7"/>
    <w:rsid w:val="00776C94"/>
    <w:rsid w:val="00786F69"/>
    <w:rsid w:val="00810EE0"/>
    <w:rsid w:val="008250AB"/>
    <w:rsid w:val="00831C49"/>
    <w:rsid w:val="00845A47"/>
    <w:rsid w:val="00872184"/>
    <w:rsid w:val="008B4701"/>
    <w:rsid w:val="008B52A8"/>
    <w:rsid w:val="008C2E4E"/>
    <w:rsid w:val="00915535"/>
    <w:rsid w:val="009932E3"/>
    <w:rsid w:val="009E571E"/>
    <w:rsid w:val="009F5E0F"/>
    <w:rsid w:val="00A25796"/>
    <w:rsid w:val="00A7526D"/>
    <w:rsid w:val="00AB250C"/>
    <w:rsid w:val="00AB2B7F"/>
    <w:rsid w:val="00AC6654"/>
    <w:rsid w:val="00AD0D92"/>
    <w:rsid w:val="00B16EE2"/>
    <w:rsid w:val="00B320C6"/>
    <w:rsid w:val="00B533B9"/>
    <w:rsid w:val="00B618D1"/>
    <w:rsid w:val="00C36E76"/>
    <w:rsid w:val="00C637E5"/>
    <w:rsid w:val="00CA3602"/>
    <w:rsid w:val="00D07FEE"/>
    <w:rsid w:val="00D30E79"/>
    <w:rsid w:val="00D33FC2"/>
    <w:rsid w:val="00D53D4E"/>
    <w:rsid w:val="00D814E4"/>
    <w:rsid w:val="00DD64B8"/>
    <w:rsid w:val="00E00CD1"/>
    <w:rsid w:val="00E03F04"/>
    <w:rsid w:val="00E277DC"/>
    <w:rsid w:val="00E43580"/>
    <w:rsid w:val="00E72894"/>
    <w:rsid w:val="00EF5DE3"/>
    <w:rsid w:val="00F249DE"/>
    <w:rsid w:val="00F83709"/>
    <w:rsid w:val="00F87EF2"/>
    <w:rsid w:val="00FA2C01"/>
    <w:rsid w:val="00FA4C35"/>
    <w:rsid w:val="00FB2543"/>
    <w:rsid w:val="00FF600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8B90F8"/>
  <w15:chartTrackingRefBased/>
  <w15:docId w15:val="{7369265A-4953-46CF-ACD0-F87507730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ascii="Arial" w:hAnsi="Arial"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Pr>
      <w:rFonts w:ascii="Times New Roman" w:hAnsi="Times New Roman" w:cs="Times New Roman" w:hint="default"/>
      <w:color w:val="0000FF"/>
      <w:u w:val="single"/>
    </w:rPr>
  </w:style>
  <w:style w:type="character" w:customStyle="1" w:styleId="empty">
    <w:name w:val="empty"/>
    <w:rPr>
      <w:rFonts w:ascii="Times New Roman" w:hAnsi="Times New Roman" w:cs="Times New Roman" w:hint="default"/>
      <w:b/>
      <w:bCs/>
      <w:color w:val="auto"/>
    </w:rPr>
  </w:style>
  <w:style w:type="paragraph" w:customStyle="1" w:styleId="sectbody">
    <w:name w:val="sectbody"/>
    <w:basedOn w:val="Normal"/>
    <w:pPr>
      <w:spacing w:line="200" w:lineRule="atLeast"/>
      <w:jc w:val="both"/>
    </w:pPr>
    <w:rPr>
      <w:rFonts w:eastAsia="Arial Unicode MS"/>
      <w:sz w:val="20"/>
      <w:szCs w:val="20"/>
    </w:rPr>
  </w:style>
  <w:style w:type="paragraph" w:customStyle="1" w:styleId="sourcenote">
    <w:name w:val="sourcenote"/>
    <w:basedOn w:val="Normal"/>
    <w:pPr>
      <w:spacing w:after="200" w:line="200" w:lineRule="atLeast"/>
      <w:jc w:val="both"/>
    </w:pPr>
    <w:rPr>
      <w:rFonts w:eastAsia="Arial Unicode MS"/>
      <w:sz w:val="20"/>
      <w:szCs w:val="20"/>
    </w:rPr>
  </w:style>
  <w:style w:type="character" w:customStyle="1" w:styleId="leadline">
    <w:name w:val="leadline"/>
    <w:rPr>
      <w:rFonts w:ascii="Times New Roman" w:hAnsi="Times New Roman" w:cs="Times New Roman" w:hint="default"/>
      <w:b/>
      <w:bCs/>
      <w:color w:val="auto"/>
    </w:rPr>
  </w:style>
  <w:style w:type="character" w:customStyle="1" w:styleId="section">
    <w:name w:val="section"/>
    <w:rPr>
      <w:rFonts w:ascii="Times New Roman" w:hAnsi="Times New Roman" w:cs="Times New Roman" w:hint="default"/>
      <w:b/>
      <w:bCs/>
      <w:color w:val="auto"/>
    </w:rPr>
  </w:style>
  <w:style w:type="paragraph" w:styleId="BodyTextIndent2">
    <w:name w:val="Body Text Indent 2"/>
    <w:basedOn w:val="Normal"/>
    <w:pPr>
      <w:ind w:left="835"/>
    </w:pPr>
    <w:rPr>
      <w:rFonts w:ascii="Arial" w:hAnsi="Arial"/>
      <w:spacing w:val="-5"/>
      <w:sz w:val="22"/>
      <w:szCs w:val="20"/>
    </w:rPr>
  </w:style>
  <w:style w:type="paragraph" w:styleId="BodyText">
    <w:name w:val="Body Text"/>
    <w:basedOn w:val="Normal"/>
    <w:pPr>
      <w:autoSpaceDE w:val="0"/>
      <w:autoSpaceDN w:val="0"/>
      <w:adjustRightInd w:val="0"/>
    </w:pPr>
    <w:rPr>
      <w:rFonts w:ascii="Arial" w:hAnsi="Arial" w:cs="Arial"/>
      <w:color w:val="000000"/>
    </w:rPr>
  </w:style>
  <w:style w:type="paragraph" w:styleId="BodyTextIndent">
    <w:name w:val="Body Text Indent"/>
    <w:basedOn w:val="Normal"/>
    <w:pPr>
      <w:autoSpaceDE w:val="0"/>
      <w:autoSpaceDN w:val="0"/>
      <w:adjustRightInd w:val="0"/>
      <w:ind w:left="605" w:hanging="605"/>
    </w:pPr>
    <w:rPr>
      <w:rFonts w:ascii="Arial" w:hAnsi="Arial" w:cs="Arial"/>
      <w:color w:val="000000"/>
    </w:rPr>
  </w:style>
  <w:style w:type="paragraph" w:styleId="BalloonText">
    <w:name w:val="Balloon Text"/>
    <w:basedOn w:val="Normal"/>
    <w:semiHidden/>
    <w:rsid w:val="00603B77"/>
    <w:rPr>
      <w:rFonts w:ascii="Tahoma" w:hAnsi="Tahoma" w:cs="Tahoma"/>
      <w:sz w:val="16"/>
      <w:szCs w:val="16"/>
    </w:rPr>
  </w:style>
  <w:style w:type="table" w:styleId="TableGridLight">
    <w:name w:val="Grid Table Light"/>
    <w:basedOn w:val="TableNormal"/>
    <w:uiPriority w:val="40"/>
    <w:rsid w:val="0003110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487</Words>
  <Characters>2426</Characters>
  <Application>Microsoft Office Word</Application>
  <DocSecurity>0</DocSecurity>
  <Lines>57</Lines>
  <Paragraphs>14</Paragraphs>
  <ScaleCrop>false</ScaleCrop>
  <HeadingPairs>
    <vt:vector size="2" baseType="variant">
      <vt:variant>
        <vt:lpstr>Title</vt:lpstr>
      </vt:variant>
      <vt:variant>
        <vt:i4>1</vt:i4>
      </vt:variant>
    </vt:vector>
  </HeadingPairs>
  <TitlesOfParts>
    <vt:vector size="1" baseType="lpstr">
      <vt:lpstr>Services of the Bureaus and Programs of the Rehabilitation Division are to be provided to eligible individuals without discrim</vt:lpstr>
    </vt:vector>
  </TitlesOfParts>
  <Company>DETR</Company>
  <LinksUpToDate>false</LinksUpToDate>
  <CharactersWithSpaces>2904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Services of the Bureaus and Programs of the Rehabilitation Division are to be provided to eligible individuals without discrim</dc:title>
  <dc:creator>hljohnson</dc:creator>
  <cp:lastModifiedBy>Pedro</cp:lastModifiedBy>
  <cp:revision>5</cp:revision>
  <cp:lastPrinted>2016-07-12T20:49:00Z</cp:lastPrinted>
  <dcterms:created xsi:type="dcterms:W3CDTF">2025-05-16T21:30:00Z</dcterms:created>
  <dcterms:modified xsi:type="dcterms:W3CDTF">2025-05-20T20:05:00Z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1d9e0535-2876-4339-9600-6716dbc0ab4f</vt:lpwstr>
  </property>
</Properties>
</file>