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B4D63" w14:textId="77777777" w:rsidR="009A2226" w:rsidRPr="00C83739" w:rsidRDefault="00000000" w:rsidP="00DD64B8">
      <w:pPr>
        <w:rPr>
          <w:rFonts w:ascii="Arial" w:hAnsi="Arial" w:cs="Arial"/>
          <w:b/>
          <w:u w:val="single"/>
          <w:lang w:val="es-MX"/>
        </w:rPr>
      </w:pPr>
      <w:r>
        <w:rPr>
          <w:rFonts w:ascii="Arial" w:eastAsia="Arial" w:hAnsi="Arial" w:cs="Arial"/>
          <w:b/>
          <w:bCs/>
          <w:u w:val="single"/>
          <w:lang w:val="es-MX"/>
        </w:rPr>
        <w:t>Política</w:t>
      </w:r>
    </w:p>
    <w:p w14:paraId="21A4BDA3" w14:textId="12CE3A80" w:rsidR="000C43D7" w:rsidRPr="00C83739" w:rsidRDefault="00567B8C" w:rsidP="00567B8C">
      <w:pPr>
        <w:tabs>
          <w:tab w:val="left" w:pos="7584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</w:p>
    <w:p w14:paraId="480BD48E" w14:textId="6F50429F" w:rsidR="009A2226" w:rsidRPr="00C83739" w:rsidRDefault="00000000" w:rsidP="00DD64B8">
      <w:pPr>
        <w:rPr>
          <w:rFonts w:ascii="Arial" w:hAnsi="Arial" w:cs="Arial"/>
          <w:lang w:val="es-MX"/>
        </w:rPr>
      </w:pPr>
      <w:r>
        <w:rPr>
          <w:rFonts w:ascii="Arial" w:eastAsia="Arial" w:hAnsi="Arial" w:cs="Arial"/>
          <w:lang w:val="es-MX"/>
        </w:rPr>
        <w:t xml:space="preserve">Según lo exige la norma NAC 426.340, es política de la Oficina, tal y como autoriza la norma NAC 426.345, exigir, como medio para mejorar las prácticas de </w:t>
      </w:r>
      <w:r w:rsidR="00ED05A1">
        <w:rPr>
          <w:rFonts w:ascii="Arial" w:eastAsia="Arial" w:hAnsi="Arial" w:cs="Arial"/>
          <w:lang w:val="es-MX"/>
        </w:rPr>
        <w:t>administración</w:t>
      </w:r>
      <w:r>
        <w:rPr>
          <w:rFonts w:ascii="Arial" w:eastAsia="Arial" w:hAnsi="Arial" w:cs="Arial"/>
          <w:lang w:val="es-MX"/>
        </w:rPr>
        <w:t>, que se realicen inventarios mensuales de la mercancía al final de cada mes.  Cada inventario debe estar debidamente valorado, ampliado y debe acompañar a los informes financieros mensuales a más tardar el vigésimo</w:t>
      </w:r>
      <w:r w:rsidR="008372F7">
        <w:rPr>
          <w:rFonts w:ascii="Arial" w:eastAsia="Arial" w:hAnsi="Arial" w:cs="Arial"/>
          <w:lang w:val="es-MX"/>
        </w:rPr>
        <w:t xml:space="preserve"> (20)</w:t>
      </w:r>
      <w:r>
        <w:rPr>
          <w:rFonts w:ascii="Arial" w:eastAsia="Arial" w:hAnsi="Arial" w:cs="Arial"/>
          <w:lang w:val="es-MX"/>
        </w:rPr>
        <w:t xml:space="preserve"> día siguiente al cierre de las actividades del último día del trimestre natural.  Se proporcionarán instrucciones detalladas en el Manual de instrucciones sobre pérdidas y ganancias.</w:t>
      </w:r>
    </w:p>
    <w:p w14:paraId="08E62A39" w14:textId="77777777" w:rsidR="009A2226" w:rsidRPr="00C83739" w:rsidRDefault="009A2226" w:rsidP="00DD64B8">
      <w:pPr>
        <w:rPr>
          <w:rFonts w:ascii="Arial" w:hAnsi="Arial" w:cs="Arial"/>
          <w:lang w:val="es-MX"/>
        </w:rPr>
      </w:pPr>
    </w:p>
    <w:p w14:paraId="00EE8FFF" w14:textId="77777777" w:rsidR="009A2226" w:rsidRPr="00C83739" w:rsidRDefault="00000000" w:rsidP="00DD64B8">
      <w:pPr>
        <w:rPr>
          <w:rFonts w:ascii="Arial" w:hAnsi="Arial" w:cs="Arial"/>
          <w:lang w:val="es-MX"/>
        </w:rPr>
      </w:pPr>
      <w:r>
        <w:rPr>
          <w:rFonts w:ascii="Arial" w:eastAsia="Arial" w:hAnsi="Arial" w:cs="Arial"/>
          <w:lang w:val="es-MX"/>
        </w:rPr>
        <w:t>Además, la Oficina podrá exigir la presentación de cualquier inventario intermedio con el fin de justificar un cambio en el inventario de cierre tal y como se ha comunicado en el BSB-120.</w:t>
      </w:r>
    </w:p>
    <w:p w14:paraId="5B16E175" w14:textId="77777777" w:rsidR="009A2226" w:rsidRPr="00C83739" w:rsidRDefault="009A2226" w:rsidP="00DD64B8">
      <w:pPr>
        <w:rPr>
          <w:rFonts w:ascii="Arial" w:hAnsi="Arial" w:cs="Arial"/>
          <w:lang w:val="es-MX"/>
        </w:rPr>
      </w:pPr>
    </w:p>
    <w:sectPr w:rsidR="009A2226" w:rsidRPr="00C8373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03A89" w14:textId="77777777" w:rsidR="00082BE0" w:rsidRDefault="00082BE0">
      <w:r>
        <w:separator/>
      </w:r>
    </w:p>
  </w:endnote>
  <w:endnote w:type="continuationSeparator" w:id="0">
    <w:p w14:paraId="57C7AC8E" w14:textId="77777777" w:rsidR="00082BE0" w:rsidRDefault="0008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0" w:type="auto"/>
      <w:tblLook w:val="0020" w:firstRow="1" w:lastRow="0" w:firstColumn="0" w:lastColumn="0" w:noHBand="0" w:noVBand="0"/>
    </w:tblPr>
    <w:tblGrid>
      <w:gridCol w:w="6091"/>
      <w:gridCol w:w="3259"/>
    </w:tblGrid>
    <w:tr w:rsidR="00BF1935" w:rsidRPr="00C83739" w14:paraId="695C9605" w14:textId="77777777" w:rsidTr="00567B8C">
      <w:tc>
        <w:tcPr>
          <w:tcW w:w="6091" w:type="dxa"/>
        </w:tcPr>
        <w:p w14:paraId="5CB48644" w14:textId="77777777" w:rsidR="004574B9" w:rsidRPr="00C83739" w:rsidRDefault="00000000">
          <w:pPr>
            <w:pStyle w:val="Footer"/>
            <w:rPr>
              <w:rFonts w:ascii="Arial" w:hAnsi="Arial" w:cs="Arial"/>
              <w:b/>
              <w:bCs/>
              <w:sz w:val="20"/>
              <w:szCs w:val="20"/>
            </w:rPr>
          </w:pPr>
          <w:r w:rsidRPr="00C83739">
            <w:rPr>
              <w:rFonts w:ascii="Arial" w:eastAsia="Arial" w:hAnsi="Arial" w:cs="Arial"/>
              <w:b/>
              <w:bCs/>
              <w:sz w:val="20"/>
              <w:szCs w:val="20"/>
              <w:lang w:val="es-MX"/>
            </w:rPr>
            <w:t>4.6 Política de procedimientos de inventario de BEN</w:t>
          </w:r>
        </w:p>
      </w:tc>
      <w:tc>
        <w:tcPr>
          <w:tcW w:w="3259" w:type="dxa"/>
        </w:tcPr>
        <w:p w14:paraId="148FBD44" w14:textId="77777777" w:rsidR="004574B9" w:rsidRPr="00C83739" w:rsidRDefault="00000000">
          <w:pPr>
            <w:pStyle w:val="Footer"/>
            <w:jc w:val="right"/>
            <w:rPr>
              <w:rFonts w:ascii="Arial" w:hAnsi="Arial" w:cs="Arial"/>
              <w:b/>
              <w:bCs/>
              <w:sz w:val="20"/>
              <w:szCs w:val="20"/>
            </w:rPr>
          </w:pPr>
          <w:r w:rsidRPr="00C83739">
            <w:rPr>
              <w:rFonts w:ascii="Arial" w:eastAsia="Arial" w:hAnsi="Arial" w:cs="Arial"/>
              <w:b/>
              <w:bCs/>
              <w:sz w:val="20"/>
              <w:szCs w:val="20"/>
              <w:lang w:val="es-MX"/>
            </w:rPr>
            <w:t xml:space="preserve">Página </w:t>
          </w:r>
          <w:r w:rsidRPr="00C83739">
            <w:rPr>
              <w:rStyle w:val="PageNumber"/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C83739">
            <w:rPr>
              <w:rStyle w:val="PageNumber"/>
              <w:rFonts w:ascii="Arial" w:hAnsi="Arial" w:cs="Arial"/>
              <w:b/>
              <w:bCs/>
              <w:sz w:val="20"/>
              <w:szCs w:val="20"/>
            </w:rPr>
            <w:instrText xml:space="preserve"> PAGE </w:instrText>
          </w:r>
          <w:r w:rsidRPr="00C83739">
            <w:rPr>
              <w:rStyle w:val="PageNumber"/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0C3E08" w:rsidRPr="00C83739">
            <w:rPr>
              <w:rStyle w:val="PageNumber"/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C83739">
            <w:rPr>
              <w:rStyle w:val="PageNumber"/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C83739">
            <w:rPr>
              <w:rFonts w:ascii="Arial" w:eastAsia="Arial" w:hAnsi="Arial" w:cs="Arial"/>
              <w:b/>
              <w:bCs/>
              <w:sz w:val="20"/>
              <w:szCs w:val="20"/>
              <w:lang w:val="es-MX"/>
            </w:rPr>
            <w:t xml:space="preserve"> de </w:t>
          </w:r>
          <w:r w:rsidRPr="00C83739">
            <w:rPr>
              <w:rStyle w:val="PageNumber"/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C83739">
            <w:rPr>
              <w:rStyle w:val="PageNumber"/>
              <w:rFonts w:ascii="Arial" w:hAnsi="Arial" w:cs="Arial"/>
              <w:b/>
              <w:bCs/>
              <w:sz w:val="20"/>
              <w:szCs w:val="20"/>
            </w:rPr>
            <w:instrText xml:space="preserve"> NUMPAGES </w:instrText>
          </w:r>
          <w:r w:rsidRPr="00C83739">
            <w:rPr>
              <w:rStyle w:val="PageNumber"/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0C3E08" w:rsidRPr="00C83739">
            <w:rPr>
              <w:rStyle w:val="PageNumber"/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C83739">
            <w:rPr>
              <w:rStyle w:val="PageNumber"/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  <w:tr w:rsidR="00C83739" w:rsidRPr="007943FD" w14:paraId="395DE29B" w14:textId="77777777" w:rsidTr="00567B8C">
      <w:tc>
        <w:tcPr>
          <w:tcW w:w="6091" w:type="dxa"/>
        </w:tcPr>
        <w:p w14:paraId="56621358" w14:textId="14937701" w:rsidR="00C83739" w:rsidRPr="00C83739" w:rsidRDefault="00C83739">
          <w:pPr>
            <w:pStyle w:val="Footer"/>
            <w:rPr>
              <w:rFonts w:ascii="Arial" w:eastAsia="Arial" w:hAnsi="Arial" w:cs="Arial"/>
              <w:b/>
              <w:bCs/>
              <w:sz w:val="20"/>
              <w:szCs w:val="20"/>
              <w:lang w:val="es-MX"/>
            </w:rPr>
          </w:pPr>
          <w:r w:rsidRPr="00C83739">
            <w:rPr>
              <w:rFonts w:ascii="Arial" w:eastAsia="Arial" w:hAnsi="Arial" w:cs="Arial"/>
              <w:b/>
              <w:bCs/>
              <w:sz w:val="20"/>
              <w:szCs w:val="20"/>
              <w:lang w:val="es-MX"/>
            </w:rPr>
            <w:t>Versión del manual: 4.0</w:t>
          </w:r>
        </w:p>
      </w:tc>
      <w:tc>
        <w:tcPr>
          <w:tcW w:w="3259" w:type="dxa"/>
        </w:tcPr>
        <w:p w14:paraId="0B8CF349" w14:textId="57D0828E" w:rsidR="00C83739" w:rsidRPr="004B2283" w:rsidRDefault="00C83739">
          <w:pPr>
            <w:pStyle w:val="Footer"/>
            <w:jc w:val="right"/>
            <w:rPr>
              <w:rFonts w:ascii="Arial" w:eastAsia="Arial" w:hAnsi="Arial" w:cs="Arial"/>
              <w:b/>
              <w:bCs/>
              <w:sz w:val="18"/>
              <w:szCs w:val="18"/>
              <w:lang w:val="es-MX"/>
            </w:rPr>
          </w:pPr>
          <w:r w:rsidRPr="004B2283">
            <w:rPr>
              <w:rFonts w:ascii="Arial" w:eastAsia="Arial" w:hAnsi="Arial" w:cs="Arial"/>
              <w:b/>
              <w:bCs/>
              <w:sz w:val="18"/>
              <w:szCs w:val="18"/>
              <w:lang w:val="es-MX"/>
            </w:rPr>
            <w:t xml:space="preserve">Fecha de entrada en vigor: </w:t>
          </w:r>
          <w:r w:rsidR="004B2283">
            <w:rPr>
              <w:rFonts w:ascii="Arial" w:eastAsia="Arial" w:hAnsi="Arial" w:cs="Arial"/>
              <w:b/>
              <w:bCs/>
              <w:sz w:val="18"/>
              <w:szCs w:val="18"/>
              <w:lang w:val="es-MX"/>
            </w:rPr>
            <w:t>10</w:t>
          </w:r>
          <w:r w:rsidRPr="004B2283">
            <w:rPr>
              <w:rFonts w:ascii="Arial" w:eastAsia="Arial" w:hAnsi="Arial" w:cs="Arial"/>
              <w:b/>
              <w:bCs/>
              <w:sz w:val="18"/>
              <w:szCs w:val="18"/>
              <w:lang w:val="es-MX"/>
            </w:rPr>
            <w:t>/</w:t>
          </w:r>
          <w:r w:rsidR="004B2283">
            <w:rPr>
              <w:rFonts w:ascii="Arial" w:eastAsia="Arial" w:hAnsi="Arial" w:cs="Arial"/>
              <w:b/>
              <w:bCs/>
              <w:sz w:val="18"/>
              <w:szCs w:val="18"/>
              <w:lang w:val="es-MX"/>
            </w:rPr>
            <w:t>08</w:t>
          </w:r>
          <w:r w:rsidRPr="004B2283">
            <w:rPr>
              <w:rFonts w:ascii="Arial" w:eastAsia="Arial" w:hAnsi="Arial" w:cs="Arial"/>
              <w:b/>
              <w:bCs/>
              <w:sz w:val="18"/>
              <w:szCs w:val="18"/>
              <w:lang w:val="es-MX"/>
            </w:rPr>
            <w:t>/12</w:t>
          </w:r>
        </w:p>
      </w:tc>
    </w:tr>
  </w:tbl>
  <w:p w14:paraId="1FF42020" w14:textId="21FCF74A" w:rsidR="004574B9" w:rsidRPr="00C83739" w:rsidRDefault="004574B9">
    <w:pPr>
      <w:pStyle w:val="Footer"/>
      <w:rPr>
        <w:rFonts w:ascii="Arial" w:hAnsi="Arial" w:cs="Arial"/>
        <w:b/>
        <w:bCs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CF8AF" w14:textId="77777777" w:rsidR="00082BE0" w:rsidRDefault="00082BE0">
      <w:r>
        <w:separator/>
      </w:r>
    </w:p>
  </w:footnote>
  <w:footnote w:type="continuationSeparator" w:id="0">
    <w:p w14:paraId="39F799A6" w14:textId="77777777" w:rsidR="00082BE0" w:rsidRDefault="00082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0" w:type="auto"/>
      <w:tblLayout w:type="fixed"/>
      <w:tblLook w:val="0020" w:firstRow="1" w:lastRow="0" w:firstColumn="0" w:lastColumn="0" w:noHBand="0" w:noVBand="0"/>
    </w:tblPr>
    <w:tblGrid>
      <w:gridCol w:w="6840"/>
      <w:gridCol w:w="2628"/>
    </w:tblGrid>
    <w:tr w:rsidR="00BF1935" w14:paraId="1D733B7C" w14:textId="77777777" w:rsidTr="00567B8C">
      <w:tc>
        <w:tcPr>
          <w:tcW w:w="6840" w:type="dxa"/>
        </w:tcPr>
        <w:p w14:paraId="041284A5" w14:textId="77777777" w:rsidR="004574B9" w:rsidRPr="00C83739" w:rsidRDefault="00000000">
          <w:pPr>
            <w:pStyle w:val="Header"/>
            <w:rPr>
              <w:rFonts w:ascii="Arial" w:hAnsi="Arial" w:cs="Arial"/>
              <w:b/>
              <w:bCs/>
              <w:sz w:val="36"/>
              <w:lang w:val="es-MX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Arial" w:eastAsia="Arial" w:hAnsi="Arial" w:cs="Arial"/>
              <w:b/>
              <w:bCs/>
              <w:sz w:val="36"/>
              <w:szCs w:val="36"/>
              <w:lang w:val="es-MX"/>
            </w:rPr>
            <w:t>DIVISIÓN DE REHABILITACIÓN</w:t>
          </w:r>
          <w:r>
            <w:rPr>
              <w:rFonts w:ascii="Arial" w:eastAsia="Arial" w:hAnsi="Arial" w:cs="Arial"/>
              <w:b/>
              <w:bCs/>
              <w:sz w:val="36"/>
              <w:szCs w:val="36"/>
              <w:lang w:val="es-MX"/>
            </w:rPr>
            <w:tab/>
          </w:r>
          <w:r>
            <w:rPr>
              <w:rFonts w:ascii="Arial" w:eastAsia="Arial" w:hAnsi="Arial" w:cs="Arial"/>
              <w:b/>
              <w:bCs/>
              <w:sz w:val="36"/>
              <w:szCs w:val="36"/>
              <w:lang w:val="es-MX"/>
            </w:rPr>
            <w:tab/>
          </w:r>
        </w:p>
        <w:p w14:paraId="55775BCC" w14:textId="77777777" w:rsidR="004574B9" w:rsidRPr="00C83739" w:rsidRDefault="00000000">
          <w:pPr>
            <w:pStyle w:val="Header"/>
            <w:rPr>
              <w:rFonts w:ascii="Arial" w:hAnsi="Arial" w:cs="Arial"/>
              <w:b/>
              <w:bCs/>
              <w:sz w:val="32"/>
              <w:lang w:val="es-MX"/>
            </w:rPr>
          </w:pPr>
          <w:r>
            <w:rPr>
              <w:rFonts w:ascii="Arial" w:eastAsia="Arial" w:hAnsi="Arial" w:cs="Arial"/>
              <w:b/>
              <w:bCs/>
              <w:sz w:val="32"/>
              <w:szCs w:val="32"/>
              <w:lang w:val="es-MX"/>
            </w:rPr>
            <w:t>MANUAL DE ADMINISTRACIÓN GENERAL</w:t>
          </w:r>
        </w:p>
        <w:p w14:paraId="5F09813E" w14:textId="77777777" w:rsidR="004574B9" w:rsidRPr="004B2283" w:rsidRDefault="00000000">
          <w:pPr>
            <w:pStyle w:val="Header"/>
            <w:rPr>
              <w:rFonts w:ascii="Arial" w:hAnsi="Arial" w:cs="Arial"/>
              <w:b/>
              <w:sz w:val="26"/>
              <w:szCs w:val="26"/>
            </w:rPr>
          </w:pPr>
          <w:r w:rsidRPr="004B2283">
            <w:rPr>
              <w:rFonts w:ascii="Arial" w:eastAsia="Arial" w:hAnsi="Arial" w:cs="Arial"/>
              <w:b/>
              <w:bCs/>
              <w:sz w:val="26"/>
              <w:szCs w:val="26"/>
              <w:lang w:val="es-MX"/>
            </w:rPr>
            <w:t>4.6 Política de procedimientos de inventario de BEN</w:t>
          </w:r>
        </w:p>
      </w:tc>
      <w:tc>
        <w:tcPr>
          <w:tcW w:w="2628" w:type="dxa"/>
        </w:tcPr>
        <w:p w14:paraId="0AB00317" w14:textId="77777777" w:rsidR="004574B9" w:rsidRDefault="00000000">
          <w:pPr>
            <w:pStyle w:val="Header"/>
            <w:jc w:val="center"/>
          </w:pPr>
          <w:r w:rsidRPr="000C3E08">
            <w:rPr>
              <w:rFonts w:ascii="Arial" w:hAnsi="Arial" w:cs="Arial"/>
              <w:b/>
              <w:bCs/>
              <w:noProof/>
              <w:sz w:val="4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drawing>
              <wp:inline distT="0" distB="0" distL="0" distR="0" wp14:anchorId="13FCCD05" wp14:editId="42DE365A">
                <wp:extent cx="1821180" cy="746125"/>
                <wp:effectExtent l="0" t="0" r="0" b="0"/>
                <wp:docPr id="1" name="Picture 1" descr="Gráfico del Departamento de Empleo, Capacitación y Rehabilitación de Nev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Gráfico del Departamento de Empleo, Capacitación y Rehabilitación de Neva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1180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BDCB60" w14:textId="77777777" w:rsidR="004574B9" w:rsidRDefault="004574B9">
    <w:pPr>
      <w:pStyle w:val="Header"/>
    </w:pPr>
  </w:p>
  <w:p w14:paraId="54301F14" w14:textId="77777777" w:rsidR="004574B9" w:rsidRDefault="004574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9533B"/>
    <w:multiLevelType w:val="hybridMultilevel"/>
    <w:tmpl w:val="96AE3508"/>
    <w:lvl w:ilvl="0" w:tplc="D6D0764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E84FD6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C76C49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13E0EF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50CEFE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EAAB6E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7206E6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D3ACE9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2245CE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2B1188"/>
    <w:multiLevelType w:val="hybridMultilevel"/>
    <w:tmpl w:val="9F120336"/>
    <w:lvl w:ilvl="0" w:tplc="DF3CA64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01ADA4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2D2A026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E144F6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7D8E14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6BEB17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B8C97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A7AF9F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6127EC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286A17"/>
    <w:multiLevelType w:val="hybridMultilevel"/>
    <w:tmpl w:val="11EAAECC"/>
    <w:lvl w:ilvl="0" w:tplc="9B86CC4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B22C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5201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8A98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69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2A0B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BA55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5894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D079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326CC7"/>
    <w:multiLevelType w:val="hybridMultilevel"/>
    <w:tmpl w:val="A59E29E0"/>
    <w:lvl w:ilvl="0" w:tplc="742AD92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DDE6D8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350323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38AD99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D5CEFA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882D9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54C49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EA2391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422473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0C6968"/>
    <w:multiLevelType w:val="hybridMultilevel"/>
    <w:tmpl w:val="8A28ABD0"/>
    <w:lvl w:ilvl="0" w:tplc="99A86290">
      <w:start w:val="1"/>
      <w:numFmt w:val="lowerLetter"/>
      <w:lvlText w:val="(%1)"/>
      <w:lvlJc w:val="left"/>
      <w:pPr>
        <w:tabs>
          <w:tab w:val="num" w:pos="1565"/>
        </w:tabs>
        <w:ind w:left="1565" w:hanging="960"/>
      </w:pPr>
      <w:rPr>
        <w:rFonts w:hint="default"/>
      </w:rPr>
    </w:lvl>
    <w:lvl w:ilvl="1" w:tplc="BDEC9260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 w:tplc="096854D8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 w:tplc="4D12416C" w:tentative="1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 w:tplc="33CA3FB0" w:tentative="1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 w:tplc="90DE3494" w:tentative="1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 w:tplc="608688CC" w:tentative="1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 w:tplc="9A343444" w:tentative="1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 w:tplc="6CA21204" w:tentative="1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5" w15:restartNumberingAfterBreak="0">
    <w:nsid w:val="7E1C571A"/>
    <w:multiLevelType w:val="hybridMultilevel"/>
    <w:tmpl w:val="526A0922"/>
    <w:lvl w:ilvl="0" w:tplc="38F45C3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130BBF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4224A4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8CE95F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D1A03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EC850F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2A29A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0205E6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A6220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95989733">
    <w:abstractNumId w:val="4"/>
  </w:num>
  <w:num w:numId="2" w16cid:durableId="861161948">
    <w:abstractNumId w:val="0"/>
  </w:num>
  <w:num w:numId="3" w16cid:durableId="2133936171">
    <w:abstractNumId w:val="5"/>
  </w:num>
  <w:num w:numId="4" w16cid:durableId="955215895">
    <w:abstractNumId w:val="2"/>
  </w:num>
  <w:num w:numId="5" w16cid:durableId="684986420">
    <w:abstractNumId w:val="1"/>
  </w:num>
  <w:num w:numId="6" w16cid:durableId="3735045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543"/>
    <w:rsid w:val="00082BE0"/>
    <w:rsid w:val="000C3E08"/>
    <w:rsid w:val="000C43D7"/>
    <w:rsid w:val="000C5A0B"/>
    <w:rsid w:val="00105547"/>
    <w:rsid w:val="00153830"/>
    <w:rsid w:val="001A2C9B"/>
    <w:rsid w:val="001D2ECA"/>
    <w:rsid w:val="00261FE9"/>
    <w:rsid w:val="002D5738"/>
    <w:rsid w:val="0030277F"/>
    <w:rsid w:val="00332612"/>
    <w:rsid w:val="003444E8"/>
    <w:rsid w:val="00406C88"/>
    <w:rsid w:val="00455DF0"/>
    <w:rsid w:val="004574B9"/>
    <w:rsid w:val="00457CA0"/>
    <w:rsid w:val="004B2283"/>
    <w:rsid w:val="004B5CAA"/>
    <w:rsid w:val="004E5328"/>
    <w:rsid w:val="004F1833"/>
    <w:rsid w:val="004F5649"/>
    <w:rsid w:val="00505474"/>
    <w:rsid w:val="00567B8C"/>
    <w:rsid w:val="005A05C8"/>
    <w:rsid w:val="005B2324"/>
    <w:rsid w:val="005E39BB"/>
    <w:rsid w:val="00623ED5"/>
    <w:rsid w:val="00674414"/>
    <w:rsid w:val="006A1B2D"/>
    <w:rsid w:val="006D3506"/>
    <w:rsid w:val="006E3B2C"/>
    <w:rsid w:val="007943FD"/>
    <w:rsid w:val="007C05FF"/>
    <w:rsid w:val="007C3CCD"/>
    <w:rsid w:val="007C4A44"/>
    <w:rsid w:val="008128AE"/>
    <w:rsid w:val="008268D0"/>
    <w:rsid w:val="008372F7"/>
    <w:rsid w:val="00891DD2"/>
    <w:rsid w:val="008F1377"/>
    <w:rsid w:val="00924FD4"/>
    <w:rsid w:val="009910CE"/>
    <w:rsid w:val="009A2226"/>
    <w:rsid w:val="00A64EC9"/>
    <w:rsid w:val="00AD04FE"/>
    <w:rsid w:val="00BD5BF0"/>
    <w:rsid w:val="00BF1935"/>
    <w:rsid w:val="00C83739"/>
    <w:rsid w:val="00CD1BAE"/>
    <w:rsid w:val="00CD44EB"/>
    <w:rsid w:val="00CE7AFE"/>
    <w:rsid w:val="00CE7DD1"/>
    <w:rsid w:val="00D7460C"/>
    <w:rsid w:val="00DB0924"/>
    <w:rsid w:val="00DD4D7C"/>
    <w:rsid w:val="00DD64B8"/>
    <w:rsid w:val="00E10BC7"/>
    <w:rsid w:val="00E47B8F"/>
    <w:rsid w:val="00E550B6"/>
    <w:rsid w:val="00E80AFC"/>
    <w:rsid w:val="00ED05A1"/>
    <w:rsid w:val="00F87AD9"/>
    <w:rsid w:val="00FB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89A764"/>
  <w15:chartTrackingRefBased/>
  <w15:docId w15:val="{9BD219DB-24AF-4FD0-92DF-62F60E12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Times New Roman" w:hAnsi="Times New Roman" w:cs="Times New Roman" w:hint="default"/>
      <w:color w:val="0000FF"/>
      <w:u w:val="single"/>
    </w:rPr>
  </w:style>
  <w:style w:type="character" w:customStyle="1" w:styleId="empty">
    <w:name w:val="empty"/>
    <w:rPr>
      <w:rFonts w:ascii="Times New Roman" w:hAnsi="Times New Roman" w:cs="Times New Roman" w:hint="default"/>
      <w:b/>
      <w:bCs/>
      <w:color w:val="auto"/>
    </w:rPr>
  </w:style>
  <w:style w:type="paragraph" w:customStyle="1" w:styleId="sectbody">
    <w:name w:val="sectbody"/>
    <w:basedOn w:val="Normal"/>
    <w:pPr>
      <w:spacing w:line="200" w:lineRule="atLeast"/>
      <w:jc w:val="both"/>
    </w:pPr>
    <w:rPr>
      <w:rFonts w:eastAsia="Arial Unicode MS"/>
      <w:sz w:val="20"/>
      <w:szCs w:val="20"/>
    </w:rPr>
  </w:style>
  <w:style w:type="paragraph" w:customStyle="1" w:styleId="sourcenote">
    <w:name w:val="sourcenote"/>
    <w:basedOn w:val="Normal"/>
    <w:pPr>
      <w:spacing w:after="200" w:line="200" w:lineRule="atLeast"/>
      <w:jc w:val="both"/>
    </w:pPr>
    <w:rPr>
      <w:rFonts w:eastAsia="Arial Unicode MS"/>
      <w:sz w:val="20"/>
      <w:szCs w:val="20"/>
    </w:rPr>
  </w:style>
  <w:style w:type="character" w:customStyle="1" w:styleId="leadline">
    <w:name w:val="leadline"/>
    <w:rPr>
      <w:rFonts w:ascii="Times New Roman" w:hAnsi="Times New Roman" w:cs="Times New Roman" w:hint="default"/>
      <w:b/>
      <w:bCs/>
      <w:color w:val="auto"/>
    </w:rPr>
  </w:style>
  <w:style w:type="character" w:customStyle="1" w:styleId="section">
    <w:name w:val="section"/>
    <w:rPr>
      <w:rFonts w:ascii="Times New Roman" w:hAnsi="Times New Roman" w:cs="Times New Roman" w:hint="default"/>
      <w:b/>
      <w:bCs/>
      <w:color w:val="auto"/>
    </w:rPr>
  </w:style>
  <w:style w:type="paragraph" w:styleId="BodyTextIndent2">
    <w:name w:val="Body Text Indent 2"/>
    <w:basedOn w:val="Normal"/>
    <w:pPr>
      <w:ind w:left="835"/>
    </w:pPr>
    <w:rPr>
      <w:rFonts w:ascii="Arial" w:hAnsi="Arial"/>
      <w:spacing w:val="-5"/>
      <w:sz w:val="22"/>
      <w:szCs w:val="20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605" w:hanging="605"/>
    </w:pPr>
    <w:rPr>
      <w:rFonts w:ascii="Arial" w:hAnsi="Arial" w:cs="Arial"/>
      <w:color w:val="000000"/>
    </w:rPr>
  </w:style>
  <w:style w:type="paragraph" w:styleId="BalloonText">
    <w:name w:val="Balloon Text"/>
    <w:basedOn w:val="Normal"/>
    <w:semiHidden/>
    <w:rsid w:val="00457CA0"/>
    <w:rPr>
      <w:rFonts w:ascii="Tahoma" w:hAnsi="Tahoma" w:cs="Tahoma"/>
      <w:sz w:val="16"/>
      <w:szCs w:val="16"/>
    </w:rPr>
  </w:style>
  <w:style w:type="table" w:styleId="TableGridLight">
    <w:name w:val="Grid Table Light"/>
    <w:basedOn w:val="TableNormal"/>
    <w:uiPriority w:val="40"/>
    <w:rsid w:val="00567B8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Services of the Bureaus and Programs of the Rehabilitation Division are to be provided to eligible individuals without discrim</vt:lpstr>
    </vt:vector>
  </TitlesOfParts>
  <Company>DETR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Services of the Bureaus and Programs of the Rehabilitation Division are to be provided to eligible individuals without discrim</dc:title>
  <dc:creator>hljohnson</dc:creator>
  <cp:lastModifiedBy>Pedro</cp:lastModifiedBy>
  <cp:revision>3</cp:revision>
  <cp:lastPrinted>2019-02-07T00:38:00Z</cp:lastPrinted>
  <dcterms:created xsi:type="dcterms:W3CDTF">2025-05-16T22:15:00Z</dcterms:created>
  <dcterms:modified xsi:type="dcterms:W3CDTF">2025-05-20T20:20:00Z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dbf961ae-dddb-4d6d-b19a-0b2844dd41de</vt:lpwstr>
  </property>
</Properties>
</file>