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62AB" w14:textId="77777777" w:rsidR="00FB2543" w:rsidRPr="007157E9" w:rsidRDefault="00000000" w:rsidP="00DD64B8">
      <w:pPr>
        <w:rPr>
          <w:rFonts w:ascii="Arial" w:hAnsi="Arial" w:cs="Arial"/>
          <w:b/>
          <w:lang w:val="es-MX"/>
        </w:rPr>
      </w:pPr>
      <w:r>
        <w:rPr>
          <w:rFonts w:ascii="Arial" w:eastAsia="Arial" w:hAnsi="Arial" w:cs="Arial"/>
          <w:b/>
          <w:bCs/>
          <w:u w:val="single"/>
          <w:lang w:val="es-MX"/>
        </w:rPr>
        <w:t>Política</w:t>
      </w:r>
    </w:p>
    <w:p w14:paraId="301B05BA" w14:textId="77777777" w:rsidR="009F2A38" w:rsidRPr="007157E9" w:rsidRDefault="009F2A38" w:rsidP="00DD64B8">
      <w:pPr>
        <w:rPr>
          <w:rFonts w:ascii="Arial" w:hAnsi="Arial" w:cs="Arial"/>
          <w:lang w:val="es-MX"/>
        </w:rPr>
      </w:pPr>
    </w:p>
    <w:p w14:paraId="17B76E9D" w14:textId="2E8A981B" w:rsidR="00E71465" w:rsidRPr="007157E9" w:rsidRDefault="00000000" w:rsidP="00DD64B8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El reembolso de los gastos de viaje relacionados con la asistencia a reuniones del Comité de Vendedores con Ceguera de Nevada u otros fines autorizados relacionados con el Programa de Empresas de Nevada se basará en la autorización previa y la documentación justificativa proporcionada por el operador </w:t>
      </w:r>
      <w:r w:rsidR="00A8435A">
        <w:rPr>
          <w:rFonts w:ascii="Arial" w:eastAsia="Arial" w:hAnsi="Arial" w:cs="Arial"/>
          <w:lang w:val="es-MX"/>
        </w:rPr>
        <w:t>con ceguera</w:t>
      </w:r>
      <w:r>
        <w:rPr>
          <w:rFonts w:ascii="Arial" w:eastAsia="Arial" w:hAnsi="Arial" w:cs="Arial"/>
          <w:lang w:val="es-MX"/>
        </w:rPr>
        <w:t xml:space="preserve">, presentada junto con una solicitud de reembolso de gastos de viaje debidamente cumplimentada en un plazo de cinco (5) días hábiles a partir de la fecha de inicio del viaje.  Las normas y tarifas que rigen el reembolso de los gastos de viaje de los empleados estatales también regirán el reembolso de los gastos de viaje de los operadores </w:t>
      </w:r>
      <w:r w:rsidR="00A8435A">
        <w:rPr>
          <w:rFonts w:ascii="Arial" w:eastAsia="Arial" w:hAnsi="Arial" w:cs="Arial"/>
          <w:lang w:val="es-MX"/>
        </w:rPr>
        <w:t>con ceguera</w:t>
      </w:r>
      <w:r>
        <w:rPr>
          <w:rFonts w:ascii="Arial" w:eastAsia="Arial" w:hAnsi="Arial" w:cs="Arial"/>
          <w:lang w:val="es-MX"/>
        </w:rPr>
        <w:t>s del Programa BEN.</w:t>
      </w:r>
    </w:p>
    <w:p w14:paraId="731B3FCB" w14:textId="77777777" w:rsidR="00E71465" w:rsidRPr="007157E9" w:rsidRDefault="00E71465" w:rsidP="00DD64B8">
      <w:pPr>
        <w:rPr>
          <w:rFonts w:ascii="Arial" w:hAnsi="Arial" w:cs="Arial"/>
          <w:lang w:val="es-MX"/>
        </w:rPr>
      </w:pPr>
    </w:p>
    <w:p w14:paraId="776B48E0" w14:textId="2E9CEDED" w:rsidR="00B1373A" w:rsidRPr="007157E9" w:rsidRDefault="00000000" w:rsidP="00DD64B8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Un operador </w:t>
      </w:r>
      <w:r w:rsidR="00A8435A">
        <w:rPr>
          <w:rFonts w:ascii="Arial" w:eastAsia="Arial" w:hAnsi="Arial" w:cs="Arial"/>
          <w:lang w:val="es-MX"/>
        </w:rPr>
        <w:t>con ceguera</w:t>
      </w:r>
      <w:r>
        <w:rPr>
          <w:rFonts w:ascii="Arial" w:eastAsia="Arial" w:hAnsi="Arial" w:cs="Arial"/>
          <w:lang w:val="es-MX"/>
        </w:rPr>
        <w:t xml:space="preserve"> puede ir acompañado de un guía vidente con la aprobación previa por escrito del jefe del programa o la persona designada.  Se deberá completar una reclamación de viaje por separado para los guías turísticos, del mismo modo que para los operadores </w:t>
      </w:r>
      <w:r w:rsidR="00A8435A">
        <w:rPr>
          <w:rFonts w:ascii="Arial" w:eastAsia="Arial" w:hAnsi="Arial" w:cs="Arial"/>
          <w:lang w:val="es-MX"/>
        </w:rPr>
        <w:t>con ceguera</w:t>
      </w:r>
      <w:r>
        <w:rPr>
          <w:rFonts w:ascii="Arial" w:eastAsia="Arial" w:hAnsi="Arial" w:cs="Arial"/>
          <w:lang w:val="es-MX"/>
        </w:rPr>
        <w:t>s, y se aplicarán las mismas condiciones para el reembolso de dichas reclamaciones.</w:t>
      </w:r>
    </w:p>
    <w:p w14:paraId="69D7BC92" w14:textId="77777777" w:rsidR="00B1373A" w:rsidRPr="007157E9" w:rsidRDefault="00B1373A" w:rsidP="00DD64B8">
      <w:pPr>
        <w:rPr>
          <w:rFonts w:ascii="Arial" w:hAnsi="Arial" w:cs="Arial"/>
          <w:lang w:val="es-MX"/>
        </w:rPr>
      </w:pPr>
    </w:p>
    <w:sectPr w:rsidR="00B1373A" w:rsidRPr="00715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DC2C" w14:textId="77777777" w:rsidR="003F26F7" w:rsidRDefault="003F26F7">
      <w:r>
        <w:separator/>
      </w:r>
    </w:p>
  </w:endnote>
  <w:endnote w:type="continuationSeparator" w:id="0">
    <w:p w14:paraId="25660FB7" w14:textId="77777777" w:rsidR="003F26F7" w:rsidRDefault="003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BFFF" w14:textId="77777777" w:rsidR="00FD3AE3" w:rsidRDefault="00FD3A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7526" w14:textId="77777777" w:rsidR="00592266" w:rsidRDefault="00592266">
    <w:pPr>
      <w:pStyle w:val="Encabezado"/>
      <w:tabs>
        <w:tab w:val="clear" w:pos="4320"/>
        <w:tab w:val="clear" w:pos="8640"/>
      </w:tabs>
    </w:pP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638"/>
      <w:gridCol w:w="2614"/>
    </w:tblGrid>
    <w:tr w:rsidR="00115940" w14:paraId="4CE2A2D2" w14:textId="77777777" w:rsidTr="00FE018F">
      <w:tc>
        <w:tcPr>
          <w:tcW w:w="6720" w:type="dxa"/>
          <w:tcBorders>
            <w:top w:val="single" w:sz="12" w:space="0" w:color="auto"/>
            <w:bottom w:val="single" w:sz="4" w:space="0" w:color="auto"/>
          </w:tcBorders>
        </w:tcPr>
        <w:p w14:paraId="7E85FE07" w14:textId="77777777" w:rsidR="00592266" w:rsidRPr="007157E9" w:rsidRDefault="00000000">
          <w:pPr>
            <w:pStyle w:val="Piedepgina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4.18 Política de reembolso de viajes del BEN</w:t>
          </w:r>
        </w:p>
      </w:tc>
      <w:tc>
        <w:tcPr>
          <w:tcW w:w="2640" w:type="dxa"/>
          <w:tcBorders>
            <w:top w:val="single" w:sz="12" w:space="0" w:color="auto"/>
            <w:bottom w:val="single" w:sz="4" w:space="0" w:color="auto"/>
          </w:tcBorders>
        </w:tcPr>
        <w:p w14:paraId="756F60D4" w14:textId="77777777" w:rsidR="00592266" w:rsidRDefault="00000000">
          <w:pPr>
            <w:pStyle w:val="Piedepgina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Página </w:t>
          </w:r>
          <w:r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bCs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="00F706BC">
            <w:rPr>
              <w:rStyle w:val="Nmerodepgina"/>
              <w:rFonts w:ascii="Arial" w:hAnsi="Arial" w:cs="Arial"/>
              <w:b/>
              <w:bCs/>
              <w:noProof/>
            </w:rPr>
            <w:t>1</w:t>
          </w:r>
          <w:r>
            <w:rPr>
              <w:rStyle w:val="Nmerodepgina"/>
              <w:rFonts w:ascii="Arial" w:hAnsi="Arial" w:cs="Arial"/>
              <w:b/>
              <w:bCs/>
            </w:rPr>
            <w:fldChar w:fldCharType="end"/>
          </w:r>
          <w:r>
            <w:rPr>
              <w:rFonts w:ascii="Arial" w:eastAsia="Arial" w:hAnsi="Arial" w:cs="Arial"/>
              <w:b/>
              <w:bCs/>
              <w:lang w:val="es-MX"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bCs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="00F706BC">
            <w:rPr>
              <w:rStyle w:val="Nmerodepgina"/>
              <w:rFonts w:ascii="Arial" w:hAnsi="Arial" w:cs="Arial"/>
              <w:b/>
              <w:bCs/>
              <w:noProof/>
            </w:rPr>
            <w:t>1</w:t>
          </w:r>
          <w:r>
            <w:rPr>
              <w:rStyle w:val="Nmerodepgina"/>
              <w:rFonts w:ascii="Arial" w:hAnsi="Arial" w:cs="Arial"/>
              <w:b/>
              <w:bCs/>
            </w:rPr>
            <w:fldChar w:fldCharType="end"/>
          </w:r>
        </w:p>
      </w:tc>
    </w:tr>
    <w:tr w:rsidR="007157E9" w:rsidRPr="002B43EB" w14:paraId="77AC8F06" w14:textId="77777777" w:rsidTr="00FE018F">
      <w:tc>
        <w:tcPr>
          <w:tcW w:w="6720" w:type="dxa"/>
          <w:tcBorders>
            <w:top w:val="single" w:sz="4" w:space="0" w:color="auto"/>
          </w:tcBorders>
        </w:tcPr>
        <w:p w14:paraId="2B5FCE07" w14:textId="698995DF" w:rsidR="007157E9" w:rsidRDefault="007157E9">
          <w:pPr>
            <w:pStyle w:val="Piedepgina"/>
            <w:rPr>
              <w:rFonts w:ascii="Arial" w:eastAsia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Versión del manual: 4.0</w:t>
          </w:r>
        </w:p>
      </w:tc>
      <w:tc>
        <w:tcPr>
          <w:tcW w:w="2640" w:type="dxa"/>
          <w:tcBorders>
            <w:top w:val="single" w:sz="4" w:space="0" w:color="auto"/>
          </w:tcBorders>
        </w:tcPr>
        <w:p w14:paraId="156FA8D4" w14:textId="0BCF71B5" w:rsidR="007157E9" w:rsidRPr="00FD3AE3" w:rsidRDefault="007157E9">
          <w:pPr>
            <w:pStyle w:val="Piedepgina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FD3A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FD3A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FD3A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</w:t>
          </w:r>
          <w:r w:rsidR="00FD3A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08</w:t>
          </w:r>
          <w:r w:rsidRPr="00FD3A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/12</w:t>
          </w:r>
        </w:p>
      </w:tc>
    </w:tr>
  </w:tbl>
  <w:p w14:paraId="2D8D2B3B" w14:textId="626054B9" w:rsidR="00592266" w:rsidRPr="007157E9" w:rsidRDefault="00592266">
    <w:pPr>
      <w:pStyle w:val="Piedepgina"/>
      <w:rPr>
        <w:rFonts w:ascii="Arial" w:hAnsi="Arial" w:cs="Arial"/>
        <w:b/>
        <w:bCs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9790" w14:textId="77777777" w:rsidR="00FD3AE3" w:rsidRDefault="00FD3A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2E9C" w14:textId="77777777" w:rsidR="003F26F7" w:rsidRDefault="003F26F7">
      <w:r>
        <w:separator/>
      </w:r>
    </w:p>
  </w:footnote>
  <w:footnote w:type="continuationSeparator" w:id="0">
    <w:p w14:paraId="2D2010FD" w14:textId="77777777" w:rsidR="003F26F7" w:rsidRDefault="003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6F3B" w14:textId="77777777" w:rsidR="00FD3AE3" w:rsidRDefault="00FD3A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840"/>
      <w:gridCol w:w="2628"/>
    </w:tblGrid>
    <w:tr w:rsidR="00115940" w14:paraId="42F56B0D" w14:textId="77777777">
      <w:tc>
        <w:tcPr>
          <w:tcW w:w="6840" w:type="dxa"/>
        </w:tcPr>
        <w:p w14:paraId="02B2FC33" w14:textId="77777777" w:rsidR="00592266" w:rsidRPr="007157E9" w:rsidRDefault="00000000">
          <w:pPr>
            <w:pStyle w:val="Encabezado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2781E235" w14:textId="77777777" w:rsidR="00592266" w:rsidRPr="007157E9" w:rsidRDefault="00000000">
          <w:pPr>
            <w:pStyle w:val="Encabezado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3CCFCF24" w14:textId="0537CAB0" w:rsidR="00592266" w:rsidRPr="007157E9" w:rsidRDefault="00000000">
          <w:pPr>
            <w:pStyle w:val="Encabezado"/>
            <w:rPr>
              <w:b/>
              <w:sz w:val="28"/>
              <w:lang w:val="es-MX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  <w:lang w:val="es-MX"/>
            </w:rPr>
            <w:t>4.18 Política de reembolso de viajes de BEN</w:t>
          </w:r>
        </w:p>
      </w:tc>
      <w:tc>
        <w:tcPr>
          <w:tcW w:w="2628" w:type="dxa"/>
        </w:tcPr>
        <w:p w14:paraId="0B4A784A" w14:textId="77777777" w:rsidR="00592266" w:rsidRDefault="00000000">
          <w:pPr>
            <w:pStyle w:val="Encabezado"/>
            <w:jc w:val="center"/>
          </w:pPr>
          <w:r w:rsidRPr="00F706BC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BEC9FC6" wp14:editId="6C7B820F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8A617" w14:textId="77777777" w:rsidR="00592266" w:rsidRDefault="00592266">
    <w:pPr>
      <w:pStyle w:val="Encabezado"/>
    </w:pPr>
  </w:p>
  <w:p w14:paraId="38A8AE6D" w14:textId="77777777" w:rsidR="00592266" w:rsidRDefault="005922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D6" w14:textId="77777777" w:rsidR="00FD3AE3" w:rsidRDefault="00FD3A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533B"/>
    <w:multiLevelType w:val="hybridMultilevel"/>
    <w:tmpl w:val="96AE3508"/>
    <w:lvl w:ilvl="0" w:tplc="CB3078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D85E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FC78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C27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4CD1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BE38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563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C6F7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FE0A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F144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C4A0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9AA12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067D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6091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28F3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3096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1C291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DA8F1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86A17"/>
    <w:multiLevelType w:val="hybridMultilevel"/>
    <w:tmpl w:val="11EAAECC"/>
    <w:lvl w:ilvl="0" w:tplc="F5508C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AF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68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AA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9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80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61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C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E1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26CC7"/>
    <w:multiLevelType w:val="hybridMultilevel"/>
    <w:tmpl w:val="A59E29E0"/>
    <w:lvl w:ilvl="0" w:tplc="B42EB6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B2D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B5049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5A7A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A44E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F4D5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C0D0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E86A5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70F8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0754A1BC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266EA636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18C80E38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CC9AD75A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505A0162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8D4884F2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C8D63692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E1587438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13480738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021EA9C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28FD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04E3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CED9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CC3C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A0F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1A1E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C076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CC80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5840231">
    <w:abstractNumId w:val="4"/>
  </w:num>
  <w:num w:numId="2" w16cid:durableId="1932352356">
    <w:abstractNumId w:val="0"/>
  </w:num>
  <w:num w:numId="3" w16cid:durableId="1569001578">
    <w:abstractNumId w:val="5"/>
  </w:num>
  <w:num w:numId="4" w16cid:durableId="1170297102">
    <w:abstractNumId w:val="2"/>
  </w:num>
  <w:num w:numId="5" w16cid:durableId="722561542">
    <w:abstractNumId w:val="1"/>
  </w:num>
  <w:num w:numId="6" w16cid:durableId="46585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3"/>
    <w:rsid w:val="0000790E"/>
    <w:rsid w:val="0002665C"/>
    <w:rsid w:val="000C1638"/>
    <w:rsid w:val="000D10B9"/>
    <w:rsid w:val="000F4768"/>
    <w:rsid w:val="00115940"/>
    <w:rsid w:val="001C78F6"/>
    <w:rsid w:val="00261FE9"/>
    <w:rsid w:val="002817C4"/>
    <w:rsid w:val="002B43EB"/>
    <w:rsid w:val="002B75D0"/>
    <w:rsid w:val="00307FCE"/>
    <w:rsid w:val="00317420"/>
    <w:rsid w:val="003F26F7"/>
    <w:rsid w:val="003F6A90"/>
    <w:rsid w:val="00412B65"/>
    <w:rsid w:val="004F1833"/>
    <w:rsid w:val="00555E94"/>
    <w:rsid w:val="00561BE7"/>
    <w:rsid w:val="00592266"/>
    <w:rsid w:val="00594E09"/>
    <w:rsid w:val="005B39C8"/>
    <w:rsid w:val="006A3454"/>
    <w:rsid w:val="007157E9"/>
    <w:rsid w:val="00750A3D"/>
    <w:rsid w:val="00810B07"/>
    <w:rsid w:val="00826F6B"/>
    <w:rsid w:val="0091395E"/>
    <w:rsid w:val="00915B9E"/>
    <w:rsid w:val="00916BA7"/>
    <w:rsid w:val="009937BD"/>
    <w:rsid w:val="009F2A38"/>
    <w:rsid w:val="00A16FF7"/>
    <w:rsid w:val="00A43E62"/>
    <w:rsid w:val="00A8435A"/>
    <w:rsid w:val="00A859E0"/>
    <w:rsid w:val="00AC24FB"/>
    <w:rsid w:val="00AC5197"/>
    <w:rsid w:val="00AC65B6"/>
    <w:rsid w:val="00B05147"/>
    <w:rsid w:val="00B1373A"/>
    <w:rsid w:val="00BC5097"/>
    <w:rsid w:val="00CB31CB"/>
    <w:rsid w:val="00CF185A"/>
    <w:rsid w:val="00D3416D"/>
    <w:rsid w:val="00DB3FB3"/>
    <w:rsid w:val="00DD64B8"/>
    <w:rsid w:val="00E40525"/>
    <w:rsid w:val="00E67360"/>
    <w:rsid w:val="00E71465"/>
    <w:rsid w:val="00ED327A"/>
    <w:rsid w:val="00F002B3"/>
    <w:rsid w:val="00F706BC"/>
    <w:rsid w:val="00FA1675"/>
    <w:rsid w:val="00FB2543"/>
    <w:rsid w:val="00FD3AE3"/>
    <w:rsid w:val="00F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8B704"/>
  <w15:chartTrackingRefBased/>
  <w15:docId w15:val="{0B774DC5-0254-4A01-9BB3-8154B4AA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Sangra2detindependiente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semiHidden/>
    <w:rsid w:val="009F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Renato Rios Gonzalez</cp:lastModifiedBy>
  <cp:revision>2</cp:revision>
  <cp:lastPrinted>2010-07-02T17:38:00Z</cp:lastPrinted>
  <dcterms:created xsi:type="dcterms:W3CDTF">2025-05-16T22:23:00Z</dcterms:created>
  <dcterms:modified xsi:type="dcterms:W3CDTF">2025-05-16T22:23:00Z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0bb47311-b723-4b00-b670-73bdb9f63f19</vt:lpwstr>
  </property>
</Properties>
</file>