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93A1" w14:textId="77777777" w:rsidR="00C61AFB" w:rsidRDefault="00000000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Política</w:t>
      </w:r>
    </w:p>
    <w:p w14:paraId="2D8D5BEF" w14:textId="77777777" w:rsidR="00C61AFB" w:rsidRDefault="00C61AFB">
      <w:pPr>
        <w:rPr>
          <w:rFonts w:ascii="Arial" w:eastAsia="Arial" w:hAnsi="Arial" w:cs="Arial"/>
        </w:rPr>
      </w:pPr>
    </w:p>
    <w:p w14:paraId="230CAE80" w14:textId="77777777" w:rsidR="00C61AFB" w:rsidRDefault="00000000" w:rsidP="00821D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el fin de mejorar la información en la que se basan las decisiones relativas a la ubicación de las máquinas expendedoras propiedad de la Oficina y maximizar los ingresos independientemente de la propiedad de las máquinas, la Oficina instalará o hará que se instalen, en la medida de lo posible, contadores no reiniciables en todas las máquinas expendedoras que funcionen bajo los auspicios del Programa de Empresas Comerciales.</w:t>
      </w:r>
    </w:p>
    <w:p w14:paraId="388F33B3" w14:textId="77777777" w:rsidR="00C61AFB" w:rsidRDefault="00C61AFB" w:rsidP="00821D08">
      <w:pPr>
        <w:rPr>
          <w:rFonts w:ascii="Arial" w:eastAsia="Arial" w:hAnsi="Arial" w:cs="Arial"/>
        </w:rPr>
      </w:pPr>
    </w:p>
    <w:p w14:paraId="68BF33A4" w14:textId="77777777" w:rsidR="00C61AFB" w:rsidRDefault="00000000" w:rsidP="00821D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operador o contratista responsable del inventario y del mantenimiento de las máquinas expendedoras conservará y preservará los registros necesarios para proporcionar una pista de auditoría clara que permita rastrear los ingresos generados por cada máquina expendedora.</w:t>
      </w:r>
    </w:p>
    <w:p w14:paraId="0A2CFDB6" w14:textId="77777777" w:rsidR="00C61AFB" w:rsidRDefault="00C61AFB" w:rsidP="00821D08">
      <w:pPr>
        <w:rPr>
          <w:rFonts w:ascii="Arial" w:eastAsia="Arial" w:hAnsi="Arial" w:cs="Arial"/>
        </w:rPr>
      </w:pPr>
    </w:p>
    <w:p w14:paraId="7B0DEE81" w14:textId="77777777" w:rsidR="00C61AFB" w:rsidRDefault="00000000" w:rsidP="00821D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Cuando las máquinas expendedoras funcionan junto con un mecanismo de cambio de billetes, los registros deben conservar el registro de auditoría a través de cualquier intercambio de monedas y billetes.</w:t>
      </w:r>
    </w:p>
    <w:p w14:paraId="6083BE53" w14:textId="77777777" w:rsidR="00C61AFB" w:rsidRDefault="00C61AFB">
      <w:pPr>
        <w:rPr>
          <w:rFonts w:ascii="Arial" w:eastAsia="Arial" w:hAnsi="Arial" w:cs="Arial"/>
        </w:rPr>
      </w:pPr>
    </w:p>
    <w:sectPr w:rsidR="00C61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65EAB" w14:textId="77777777" w:rsidR="004830A8" w:rsidRDefault="004830A8">
      <w:r>
        <w:separator/>
      </w:r>
    </w:p>
  </w:endnote>
  <w:endnote w:type="continuationSeparator" w:id="0">
    <w:p w14:paraId="537EAE2B" w14:textId="77777777" w:rsidR="004830A8" w:rsidRDefault="0048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15A1" w14:textId="77777777" w:rsidR="00213A68" w:rsidRDefault="00213A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2D42" w14:textId="77777777" w:rsidR="00C61AFB" w:rsidRDefault="00C61A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tbl>
    <w:tblPr>
      <w:tblStyle w:val="a0"/>
      <w:tblW w:w="9252" w:type="dxa"/>
      <w:tblInd w:w="108" w:type="dxa"/>
      <w:tblLayout w:type="fixed"/>
      <w:tblLook w:val="0020" w:firstRow="1" w:lastRow="0" w:firstColumn="0" w:lastColumn="0" w:noHBand="0" w:noVBand="0"/>
    </w:tblPr>
    <w:tblGrid>
      <w:gridCol w:w="6638"/>
      <w:gridCol w:w="2614"/>
    </w:tblGrid>
    <w:tr w:rsidR="00C61AFB" w14:paraId="1F5EA228" w14:textId="77777777" w:rsidTr="00247BD2">
      <w:tc>
        <w:tcPr>
          <w:tcW w:w="6638" w:type="dxa"/>
          <w:tcBorders>
            <w:top w:val="single" w:sz="12" w:space="0" w:color="000000"/>
            <w:bottom w:val="single" w:sz="4" w:space="0" w:color="000000"/>
          </w:tcBorders>
        </w:tcPr>
        <w:p w14:paraId="42AFF82C" w14:textId="2C7F855F" w:rsidR="00C61A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4.21 Registros de las máquina</w:t>
          </w:r>
          <w:r w:rsidR="00821D08">
            <w:rPr>
              <w:rFonts w:ascii="Arial" w:eastAsia="Arial" w:hAnsi="Arial" w:cs="Arial"/>
              <w:b/>
              <w:color w:val="000000"/>
            </w:rPr>
            <w:t>s</w:t>
          </w:r>
          <w:r>
            <w:rPr>
              <w:rFonts w:ascii="Arial" w:eastAsia="Arial" w:hAnsi="Arial" w:cs="Arial"/>
              <w:b/>
              <w:color w:val="000000"/>
            </w:rPr>
            <w:t xml:space="preserve"> expendedora de BEN</w:t>
          </w:r>
        </w:p>
      </w:tc>
      <w:tc>
        <w:tcPr>
          <w:tcW w:w="2614" w:type="dxa"/>
          <w:tcBorders>
            <w:top w:val="single" w:sz="12" w:space="0" w:color="000000"/>
            <w:bottom w:val="single" w:sz="4" w:space="0" w:color="000000"/>
          </w:tcBorders>
        </w:tcPr>
        <w:p w14:paraId="73D0767D" w14:textId="77777777" w:rsidR="00C61A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821D08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821D08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</w:tc>
    </w:tr>
    <w:tr w:rsidR="00C61AFB" w14:paraId="39B204AC" w14:textId="77777777" w:rsidTr="00247BD2">
      <w:tc>
        <w:tcPr>
          <w:tcW w:w="6638" w:type="dxa"/>
          <w:tcBorders>
            <w:top w:val="single" w:sz="4" w:space="0" w:color="000000"/>
          </w:tcBorders>
        </w:tcPr>
        <w:p w14:paraId="0C7F9F0B" w14:textId="77777777" w:rsidR="00C61A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Versión del manual: 4.0</w:t>
          </w:r>
        </w:p>
      </w:tc>
      <w:tc>
        <w:tcPr>
          <w:tcW w:w="2614" w:type="dxa"/>
          <w:tcBorders>
            <w:top w:val="single" w:sz="4" w:space="0" w:color="000000"/>
          </w:tcBorders>
        </w:tcPr>
        <w:p w14:paraId="1705198D" w14:textId="39146B06" w:rsidR="00C61AFB" w:rsidRPr="00821D0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 w:rsidRPr="00821D08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Fecha de entrada en vigor: </w:t>
          </w:r>
          <w:r w:rsidR="00821D08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10</w:t>
          </w:r>
          <w:r w:rsidRPr="00821D08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/</w:t>
          </w:r>
          <w:r w:rsidR="00821D08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08</w:t>
          </w:r>
          <w:r w:rsidRPr="00821D08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/12</w:t>
          </w:r>
        </w:p>
      </w:tc>
    </w:tr>
  </w:tbl>
  <w:p w14:paraId="7D6A1B23" w14:textId="77777777" w:rsidR="00C61AFB" w:rsidRDefault="00C61A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B270" w14:textId="77777777" w:rsidR="00213A68" w:rsidRDefault="00213A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C9AE" w14:textId="77777777" w:rsidR="004830A8" w:rsidRDefault="004830A8">
      <w:r>
        <w:separator/>
      </w:r>
    </w:p>
  </w:footnote>
  <w:footnote w:type="continuationSeparator" w:id="0">
    <w:p w14:paraId="44D02DE1" w14:textId="77777777" w:rsidR="004830A8" w:rsidRDefault="0048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037C" w14:textId="77777777" w:rsidR="00213A68" w:rsidRDefault="00213A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E2E9" w14:textId="77777777" w:rsidR="00C61AFB" w:rsidRDefault="00C61A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9468" w:type="dxa"/>
      <w:tblInd w:w="108" w:type="dxa"/>
      <w:tblBorders>
        <w:bottom w:val="single" w:sz="12" w:space="0" w:color="000000"/>
      </w:tblBorders>
      <w:tblLayout w:type="fixed"/>
      <w:tblLook w:val="0020" w:firstRow="1" w:lastRow="0" w:firstColumn="0" w:lastColumn="0" w:noHBand="0" w:noVBand="0"/>
    </w:tblPr>
    <w:tblGrid>
      <w:gridCol w:w="6840"/>
      <w:gridCol w:w="2628"/>
    </w:tblGrid>
    <w:tr w:rsidR="00C61AFB" w14:paraId="75064F15" w14:textId="77777777" w:rsidTr="00247BD2">
      <w:tc>
        <w:tcPr>
          <w:tcW w:w="6840" w:type="dxa"/>
        </w:tcPr>
        <w:p w14:paraId="0C7AD01A" w14:textId="77777777" w:rsidR="00C61A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  <w:sz w:val="36"/>
              <w:szCs w:val="36"/>
            </w:rPr>
          </w:pPr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>DIVISIÓN DE REHABILITACIÓN</w:t>
          </w:r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ab/>
          </w:r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ab/>
          </w:r>
        </w:p>
        <w:p w14:paraId="5E8E258C" w14:textId="77777777" w:rsidR="00C61A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MANUAL DE ADMINISTRACIÓN GENERAL</w:t>
          </w:r>
        </w:p>
        <w:p w14:paraId="0E435D3B" w14:textId="7B32A826" w:rsidR="00C61AFB" w:rsidRPr="00821D08" w:rsidRDefault="00000000" w:rsidP="00821D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8"/>
            <w:rPr>
              <w:rFonts w:ascii="Arial" w:eastAsia="Arial" w:hAnsi="Arial" w:cs="Arial"/>
              <w:b/>
              <w:color w:val="000000"/>
              <w:sz w:val="26"/>
              <w:szCs w:val="26"/>
            </w:rPr>
          </w:pPr>
          <w:r w:rsidRPr="00821D08">
            <w:rPr>
              <w:rFonts w:ascii="Arial" w:eastAsia="Arial" w:hAnsi="Arial" w:cs="Arial"/>
              <w:b/>
              <w:color w:val="000000"/>
              <w:sz w:val="26"/>
              <w:szCs w:val="26"/>
            </w:rPr>
            <w:t>4.21 Registros de las máquina</w:t>
          </w:r>
          <w:r w:rsidR="00821D08">
            <w:rPr>
              <w:rFonts w:ascii="Arial" w:eastAsia="Arial" w:hAnsi="Arial" w:cs="Arial"/>
              <w:b/>
              <w:color w:val="000000"/>
              <w:sz w:val="26"/>
              <w:szCs w:val="26"/>
            </w:rPr>
            <w:t>s</w:t>
          </w:r>
          <w:r w:rsidRPr="00821D08">
            <w:rPr>
              <w:rFonts w:ascii="Arial" w:eastAsia="Arial" w:hAnsi="Arial" w:cs="Arial"/>
              <w:b/>
              <w:color w:val="000000"/>
              <w:sz w:val="26"/>
              <w:szCs w:val="26"/>
            </w:rPr>
            <w:t xml:space="preserve"> expendedora de BEN</w:t>
          </w:r>
        </w:p>
      </w:tc>
      <w:tc>
        <w:tcPr>
          <w:tcW w:w="2628" w:type="dxa"/>
        </w:tcPr>
        <w:p w14:paraId="495C4D17" w14:textId="77777777" w:rsidR="00C61AF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sz w:val="40"/>
              <w:szCs w:val="40"/>
            </w:rPr>
            <w:drawing>
              <wp:inline distT="0" distB="0" distL="0" distR="0" wp14:anchorId="39AB79E3" wp14:editId="445847F1">
                <wp:extent cx="1821180" cy="746125"/>
                <wp:effectExtent l="0" t="0" r="0" b="0"/>
                <wp:docPr id="2" name="image1.jpg" descr="Gráfico del Departamento de Empleo, Capacitación y Rehabilitación de Nevad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Gráfico del Departamento de Empleo, Capacitación y Rehabilitación de Nevad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180" cy="746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E14CFC5" w14:textId="77777777" w:rsidR="00C61AFB" w:rsidRDefault="00C61A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4F7364D9" w14:textId="77777777" w:rsidR="00C61AFB" w:rsidRDefault="00C61A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A7E0" w14:textId="77777777" w:rsidR="00213A68" w:rsidRDefault="00213A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FB"/>
    <w:rsid w:val="00213A68"/>
    <w:rsid w:val="00247BD2"/>
    <w:rsid w:val="002A4499"/>
    <w:rsid w:val="002E24EF"/>
    <w:rsid w:val="00302977"/>
    <w:rsid w:val="004830A8"/>
    <w:rsid w:val="006E4B65"/>
    <w:rsid w:val="00797290"/>
    <w:rsid w:val="00821D08"/>
    <w:rsid w:val="00C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E09F2"/>
  <w15:docId w15:val="{FC0FD2F7-91DC-4D2E-9BFE-E1010A87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hAnsi="Arial" w:cs="Arial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empty">
    <w:name w:val="empty"/>
    <w:rPr>
      <w:rFonts w:ascii="Times New Roman" w:hAnsi="Times New Roman" w:cs="Times New Roman" w:hint="default"/>
      <w:b/>
      <w:bCs/>
      <w:color w:val="auto"/>
    </w:rPr>
  </w:style>
  <w:style w:type="paragraph" w:customStyle="1" w:styleId="sectbody">
    <w:name w:val="sectbody"/>
    <w:basedOn w:val="Normal"/>
    <w:pPr>
      <w:spacing w:line="200" w:lineRule="atLeast"/>
      <w:jc w:val="both"/>
    </w:pPr>
    <w:rPr>
      <w:rFonts w:eastAsia="Arial Unicode MS"/>
      <w:sz w:val="20"/>
      <w:szCs w:val="20"/>
    </w:rPr>
  </w:style>
  <w:style w:type="paragraph" w:customStyle="1" w:styleId="sourcenote">
    <w:name w:val="sourcenote"/>
    <w:basedOn w:val="Normal"/>
    <w:pPr>
      <w:spacing w:after="200" w:line="200" w:lineRule="atLeast"/>
      <w:jc w:val="both"/>
    </w:pPr>
    <w:rPr>
      <w:rFonts w:eastAsia="Arial Unicode MS"/>
      <w:sz w:val="20"/>
      <w:szCs w:val="20"/>
    </w:rPr>
  </w:style>
  <w:style w:type="character" w:customStyle="1" w:styleId="leadline">
    <w:name w:val="leadline"/>
    <w:rPr>
      <w:rFonts w:ascii="Times New Roman" w:hAnsi="Times New Roman" w:cs="Times New Roman" w:hint="default"/>
      <w:b/>
      <w:bCs/>
      <w:color w:val="auto"/>
    </w:rPr>
  </w:style>
  <w:style w:type="character" w:customStyle="1" w:styleId="section">
    <w:name w:val="section"/>
    <w:rPr>
      <w:rFonts w:ascii="Times New Roman" w:hAnsi="Times New Roman" w:cs="Times New Roman" w:hint="default"/>
      <w:b/>
      <w:bCs/>
      <w:color w:val="auto"/>
    </w:rPr>
  </w:style>
  <w:style w:type="paragraph" w:styleId="Sangra2detindependiente">
    <w:name w:val="Body Text Indent 2"/>
    <w:basedOn w:val="Normal"/>
    <w:pPr>
      <w:ind w:left="835"/>
    </w:pPr>
    <w:rPr>
      <w:rFonts w:ascii="Arial" w:hAnsi="Arial"/>
      <w:spacing w:val="-5"/>
      <w:sz w:val="22"/>
      <w:szCs w:val="20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605" w:hanging="605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semiHidden/>
    <w:rsid w:val="0024395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+xNb1S8KMDk7gaB7LAiC/yLvDA==">CgMxLjA4AHIhMXpPb0M2WWlwNFo0RE9NRzRHVmpidHRjTEFCS0diQXBN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hljohnson</dc:creator>
  <cp:lastModifiedBy>Renato Rios Gonzalez</cp:lastModifiedBy>
  <cp:revision>4</cp:revision>
  <dcterms:created xsi:type="dcterms:W3CDTF">2025-05-16T22:24:00Z</dcterms:created>
  <dcterms:modified xsi:type="dcterms:W3CDTF">2025-05-19T18:41:00Z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4b80e10c-46a5-415b-9adc-9b160561c62e</vt:lpwstr>
  </property>
</Properties>
</file>